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DELANEY TIMOTHY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 SOUTH BROAD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NBT BANCORP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NBTB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NORWICH</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13815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1220" w:type="dxa"/>
            <w:vAlign w:val="bottom"/>
            <w:gridSpan w:val="2"/>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 or</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  Indirect (I)</w:t>
            </w:r>
          </w:p>
        </w:tc>
        <w:tc>
          <w:tcPr>
            <w:tcW w:w="26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8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vMerge w:val="restart"/>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6"/>
                <w:szCs w:val="6"/>
                <w:color w:val="auto"/>
              </w:rPr>
            </w:pPr>
          </w:p>
        </w:tc>
        <w:tc>
          <w:tcPr>
            <w:tcW w:w="12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NBT Bancorp Inc.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05/19/2026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1,050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820" w:type="dxa"/>
            <w:vAlign w:val="bottom"/>
            <w:tcBorders>
              <w:bottom w:val="single" w:sz="8" w:color="2C2C2C"/>
            </w:tcBorders>
            <w:gridSpan w:val="2"/>
          </w:tcPr>
          <w:p>
            <w:pPr>
              <w:jc w:val="center"/>
              <w:ind w:left="213"/>
              <w:spacing w:after="0"/>
              <w:rPr>
                <w:sz w:val="20"/>
                <w:szCs w:val="20"/>
                <w:color w:val="auto"/>
              </w:rPr>
            </w:pPr>
            <w:r>
              <w:rPr>
                <w:rFonts w:ascii="Times New Roman" w:cs="Times New Roman" w:eastAsia="Times New Roman" w:hAnsi="Times New Roman"/>
                <w:sz w:val="17"/>
                <w:szCs w:val="17"/>
                <w:color w:val="0000FF"/>
              </w:rPr>
              <w:t>52,935</w:t>
            </w:r>
          </w:p>
        </w:tc>
        <w:tc>
          <w:tcPr>
            <w:tcW w:w="96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NBT Bancorp Inc. Common Stock</w:t>
            </w: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gridSpan w:val="2"/>
            <w:vMerge w:val="restart"/>
          </w:tcPr>
          <w:p>
            <w:pPr>
              <w:jc w:val="center"/>
              <w:ind w:left="213"/>
              <w:spacing w:after="0"/>
              <w:rPr>
                <w:sz w:val="20"/>
                <w:szCs w:val="20"/>
                <w:color w:val="auto"/>
              </w:rPr>
            </w:pPr>
            <w:r>
              <w:rPr>
                <w:rFonts w:ascii="Times New Roman" w:cs="Times New Roman" w:eastAsia="Times New Roman" w:hAnsi="Times New Roman"/>
                <w:sz w:val="17"/>
                <w:szCs w:val="17"/>
                <w:color w:val="0000FF"/>
              </w:rPr>
              <w:t>9.289</w:t>
            </w: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21"/>
                <w:szCs w:val="21"/>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Spouse as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NBT Bancorp Inc. Common Stock</w:t>
            </w: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gridSpan w:val="2"/>
            <w:vMerge w:val="restart"/>
          </w:tcPr>
          <w:p>
            <w:pPr>
              <w:jc w:val="center"/>
              <w:ind w:left="213"/>
              <w:spacing w:after="0"/>
              <w:rPr>
                <w:sz w:val="20"/>
                <w:szCs w:val="20"/>
                <w:color w:val="auto"/>
              </w:rPr>
            </w:pPr>
            <w:r>
              <w:rPr>
                <w:rFonts w:ascii="Times New Roman" w:cs="Times New Roman" w:eastAsia="Times New Roman" w:hAnsi="Times New Roman"/>
                <w:sz w:val="17"/>
                <w:szCs w:val="17"/>
                <w:color w:val="0000FF"/>
              </w:rPr>
              <w:t>22,730</w:t>
            </w:r>
          </w:p>
        </w:tc>
        <w:tc>
          <w:tcPr>
            <w:tcW w:w="960" w:type="dxa"/>
            <w:vAlign w:val="bottom"/>
            <w:vMerge w:val="restart"/>
          </w:tcPr>
          <w:p>
            <w:pPr>
              <w:ind w:left="740"/>
              <w:spacing w:after="0"/>
              <w:rPr>
                <w:sz w:val="20"/>
                <w:szCs w:val="20"/>
                <w:color w:val="auto"/>
              </w:rPr>
            </w:pPr>
            <w:r>
              <w:rPr>
                <w:rFonts w:ascii="Times New Roman" w:cs="Times New Roman" w:eastAsia="Times New Roman" w:hAnsi="Times New Roman"/>
                <w:sz w:val="17"/>
                <w:szCs w:val="17"/>
                <w:color w:val="0000FF"/>
              </w:rPr>
              <w:t>I</w:t>
            </w:r>
          </w:p>
        </w:tc>
        <w:tc>
          <w:tcPr>
            <w:tcW w:w="26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2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6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pursuant to the NBT Bancorp Inc. 2024 Omnibus Incentive Plan. Each outside director is entitled to receive an annual retainer for Board service in the form of restricted stock units of the Company's common stock that vest in one year.</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29, 2026, the reporting person filed a Form 4 which inadvertently reported securities were held directly by the reporting person. In fact, the reported securities are held by Wesson Group LLC, a Corporation for which the reporting person serves as the President.</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Annette L. Burns,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3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For: Timothy E.</w:t>
        <w:tab/>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Delaney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6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02671" TargetMode="External"/><Relationship Id="rId14" Type="http://schemas.openxmlformats.org/officeDocument/2006/relationships/hyperlink" Target="http://www.sec.gov/cgi-bin/browse-edgar?action=getcompany&amp;CIK=0000790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2026-05-21T11:26:31Z</dcterms:created>
  <dcterms:modified xsi:type="dcterms:W3CDTF">2026-05-21T11:26:31Z</dcterms:modified>
</cp:coreProperties>
</file>