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5500_10q.htm"/>
      <w:bookmarkStart w:id="1" w:name="ksef20075500_10q"/>
      <w:bookmarkStart w:id="2" w:name="ef20075500_10q.htm"/>
      <w:bookmarkStart w:id="3" w:name="ksef20075500_10q"/>
      <w:bookmarkEnd w:id="2"/>
      <w:bookmarkEnd w:id="3"/>
    </w:p>
    <w:p>
      <w:pPr>
        <w:pStyle w:val="TextBody"/>
        <w:bidi w:val="0"/>
        <w:spacing w:before="0" w:after="0"/>
        <w:jc w:val="center"/>
        <w:rPr>
          <w:rFonts w:ascii="TimesNewRoman;Times New Roman;Times;Baskerville;Georgia;serif" w:hAnsi="TimesNewRoman;Times New Roman;Times;Baskerville;Georgia;serif"/>
          <w:sz w:val="28"/>
        </w:rPr>
      </w:pPr>
      <w:r>
        <w:rPr>
          <w:rFonts w:ascii="TimesNewRoman;Times New Roman;Times;Baskerville;Georgia;serif" w:hAnsi="TimesNewRoman;Times New Roman;Times;Baskerville;Georgia;serif"/>
          <w:b/>
          <w:color w:val="000000"/>
          <w:sz w:val="28"/>
        </w:rPr>
        <w:t>UNITED STATES</w:t>
      </w:r>
      <w:r>
        <w:rPr>
          <w:rFonts w:ascii="TimesNewRoman;Times New Roman;Times;Baskerville;Georgia;serif" w:hAnsi="TimesNewRoman;Times New Roman;Times;Baskerville;Georgia;serif"/>
          <w:sz w:val="28"/>
        </w:rPr>
        <w:t xml:space="preserve"> </w:t>
      </w:r>
    </w:p>
    <w:p>
      <w:pPr>
        <w:pStyle w:val="TextBody"/>
        <w:bidi w:val="0"/>
        <w:spacing w:before="0" w:after="0"/>
        <w:jc w:val="center"/>
        <w:rPr>
          <w:rFonts w:ascii="TimesNewRoman;Times New Roman;Times;Baskerville;Georgia;serif" w:hAnsi="TimesNewRoman;Times New Roman;Times;Baskerville;Georgia;serif"/>
          <w:sz w:val="28"/>
        </w:rPr>
      </w:pPr>
      <w:r>
        <w:rPr>
          <w:rFonts w:ascii="TimesNewRoman;Times New Roman;Times;Baskerville;Georgia;serif" w:hAnsi="TimesNewRoman;Times New Roman;Times;Baskerville;Georgia;serif"/>
          <w:b/>
          <w:color w:val="000000"/>
          <w:sz w:val="28"/>
        </w:rPr>
        <w:t>SECURITIES AND EXCHANGE COMMISSION</w:t>
      </w:r>
      <w:r>
        <w:rPr>
          <w:rFonts w:ascii="TimesNewRoman;Times New Roman;Times;Baskerville;Georgia;serif" w:hAnsi="TimesNewRoman;Times New Roman;Times;Baskerville;Georgia;serif"/>
          <w:sz w:val="28"/>
        </w:rPr>
        <w:t xml:space="preserve"> </w:t>
      </w:r>
    </w:p>
    <w:p>
      <w:pPr>
        <w:pStyle w:val="TextBody"/>
        <w:bidi w:val="0"/>
        <w:spacing w:before="0" w:after="0"/>
        <w:jc w:val="center"/>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b/>
          <w:color w:val="000000"/>
          <w:sz w:val="24"/>
        </w:rPr>
        <w:t>Washington, D.C. 20549</w:t>
      </w:r>
      <w:r>
        <w:rPr>
          <w:rFonts w:ascii="TimesNewRoman;Times New Roman;Times;Baskerville;Georgia;serif" w:hAnsi="TimesNewRoman;Times New Roman;Times;Baskerville;Georgia;serif"/>
          <w:sz w:val="24"/>
        </w:rPr>
        <w:t xml:space="preserve"> </w:t>
      </w:r>
    </w:p>
    <w:p>
      <w:pPr>
        <w:pStyle w:val="TextBody"/>
        <w:bidi w:val="0"/>
        <w:spacing w:before="0" w:after="0"/>
        <w:jc w:val="center"/>
        <w:rPr>
          <w:rFonts w:ascii="TimesNewRoman;Times New Roman;Times;Baskerville;Georgia;serif" w:hAnsi="TimesNewRoman;Times New Roman;Times;Baskerville;Georgia;serif"/>
          <w:sz w:val="36"/>
        </w:rPr>
      </w:pPr>
      <w:r>
        <w:rPr>
          <w:rFonts w:ascii="TimesNewRoman;Times New Roman;Times;Baskerville;Georgia;serif" w:hAnsi="TimesNewRoman;Times New Roman;Times;Baskerville;Georgia;serif"/>
          <w:b/>
          <w:color w:val="000000"/>
          <w:sz w:val="36"/>
        </w:rPr>
        <w:t>FORM 10-Q</w:t>
      </w:r>
      <w:r>
        <w:rPr>
          <w:rFonts w:ascii="TimesNewRoman;Times New Roman;Times;Baskerville;Georgia;serif" w:hAnsi="TimesNewRoman;Times New Roman;Times;Baskerville;Georgia;serif"/>
          <w:sz w:val="36"/>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(Mark One)</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QUARTERLY REPORT PURSUANT TO SECTION 13 OR 15(d) OF THE SECURITIES EXCHANGE ACT OF 1934</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429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72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For the quarterly period ended June 30, 2026.</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OR</w:t>
      </w:r>
      <w:r>
        <w:rPr>
          <w:rFonts w:ascii="TimesNewRoman;Times New Roman;Times;Baskerville;Georgia;serif" w:hAnsi="TimesNewRoman;Times New Roman;Times;Baskerville;Georgia;serif"/>
          <w:sz w:val="20"/>
        </w:rPr>
        <w:t xml:space="preserve"> </w:t>
      </w:r>
    </w:p>
    <w:p>
      <w:pPr>
        <w:pStyle w:val="TextBody"/>
        <w:bidi w:val="0"/>
        <w:spacing w:before="0" w:after="0"/>
        <w:ind w:left="15" w:right="0" w:hanging="0"/>
        <w:jc w:val="left"/>
        <w:rPr/>
      </w:pPr>
      <w:r>
        <w:rPr/>
        <w:t xml:space="preserve">  </w:t>
      </w:r>
    </w:p>
    <w:p>
      <w:pPr>
        <w:pStyle w:val="TextBody"/>
        <w:bidi w:val="0"/>
        <w:spacing w:before="0" w:after="0"/>
        <w:ind w:left="0" w:right="0" w:hanging="54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TRANSITION REPORT PURSUANT TO SECTION 13 OR 15(d) OF THE SECURITIES EXCHANGE ACT OF 1934</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429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For the transition period from ________ to ________.</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COMMISSION FILE NUMBER 0-14703</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48"/>
        </w:rPr>
      </w:pPr>
      <w:r>
        <w:rPr>
          <w:rFonts w:ascii="TimesNewRoman;Times New Roman;Times;Baskerville;Georgia;serif" w:hAnsi="TimesNewRoman;Times New Roman;Times;Baskerville;Georgia;serif"/>
          <w:b/>
          <w:color w:val="000000"/>
          <w:sz w:val="48"/>
        </w:rPr>
        <w:t>NBT BANCORP INC.</w:t>
      </w:r>
      <w:r>
        <w:rPr>
          <w:rFonts w:ascii="TimesNewRoman;Times New Roman;Times;Baskerville;Georgia;serif" w:hAnsi="TimesNewRoman;Times New Roman;Times;Baskerville;Georgia;serif"/>
          <w:sz w:val="48"/>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(Exact name of registrant as specified in its charter)</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9538" w:type="dxa"/>
        <w:jc w:val="left"/>
        <w:tblInd w:w="0" w:type="dxa"/>
        <w:tblLayout w:type="fixed"/>
        <w:tblCellMar>
          <w:top w:w="28" w:type="dxa"/>
          <w:left w:w="28" w:type="dxa"/>
          <w:bottom w:w="28" w:type="dxa"/>
          <w:right w:w="28" w:type="dxa"/>
        </w:tblCellMar>
      </w:tblPr>
      <w:tblGrid>
        <w:gridCol w:w="5761"/>
        <w:gridCol w:w="146"/>
        <w:gridCol w:w="3631"/>
      </w:tblGrid>
      <w:tr>
        <w:trPr/>
        <w:tc>
          <w:tcPr>
            <w:tcW w:w="57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31" w:type="dxa"/>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0"/>
              <w:jc w:val="center"/>
              <w:rPr/>
            </w:pPr>
            <w:r>
              <w:rPr>
                <w:b/>
                <w:color w:val="000000"/>
              </w:rPr>
              <w:t>Delaware</w:t>
            </w:r>
            <w:r>
              <w:rPr/>
              <w:t xml:space="preserve"> </w:t>
            </w:r>
          </w:p>
        </w:tc>
        <w:tc>
          <w:tcPr>
            <w:tcW w:w="146" w:type="dxa"/>
            <w:tcBorders/>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0"/>
              <w:jc w:val="center"/>
              <w:rPr/>
            </w:pPr>
            <w:r>
              <w:rPr>
                <w:b/>
                <w:color w:val="000000"/>
              </w:rPr>
              <w:t>16-1268674</w:t>
            </w:r>
            <w:r>
              <w:rPr/>
              <w:t xml:space="preserve"> </w:t>
            </w:r>
          </w:p>
        </w:tc>
      </w:tr>
      <w:tr>
        <w:trPr/>
        <w:tc>
          <w:tcPr>
            <w:tcW w:w="5761" w:type="dxa"/>
            <w:tcBorders/>
            <w:tcMar>
              <w:top w:w="0" w:type="dxa"/>
              <w:left w:w="0" w:type="dxa"/>
              <w:bottom w:w="0" w:type="dxa"/>
              <w:right w:w="0" w:type="dxa"/>
            </w:tcMar>
            <w:vAlign w:val="center"/>
          </w:tcPr>
          <w:p>
            <w:pPr>
              <w:pStyle w:val="TableContents"/>
              <w:bidi w:val="0"/>
              <w:spacing w:before="0" w:after="0"/>
              <w:jc w:val="center"/>
              <w:rPr/>
            </w:pPr>
            <w:r>
              <w:rPr>
                <w:color w:val="000000"/>
              </w:rPr>
              <w:t>(State or other jurisdiction of incorporation or organization)</w:t>
            </w:r>
            <w:r>
              <w:rPr/>
              <w:t xml:space="preserve"> </w:t>
            </w:r>
          </w:p>
        </w:tc>
        <w:tc>
          <w:tcPr>
            <w:tcW w:w="146" w:type="dxa"/>
            <w:tcBorders/>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0"/>
              <w:jc w:val="center"/>
              <w:rPr/>
            </w:pPr>
            <w:r>
              <w:rPr>
                <w:color w:val="000000"/>
              </w:rPr>
              <w:t>(I.R.S. Employer Identification No.)</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52 South Broad Street, Norwich, New York 13815</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(Address of principal executive offices) (Zip Code)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 xml:space="preserve">Registrant’s telephone number, including area code: </w:t>
      </w:r>
      <w:r>
        <w:rPr>
          <w:rFonts w:ascii="TimesNewRoman;Times New Roman;Times;Baskerville;Georgia;serif" w:hAnsi="TimesNewRoman;Times New Roman;Times;Baskerville;Georgia;serif"/>
          <w:b/>
          <w:color w:val="000000"/>
          <w:sz w:val="20"/>
        </w:rPr>
        <w:t>(607) 337-2265</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u w:val="single"/>
        </w:rPr>
        <w:t>None</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(Former name, former address and former fiscal year, if changed since last report)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Securities registered pursuant to Section 12(b) of the Act: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4031"/>
        <w:gridCol w:w="1905"/>
        <w:gridCol w:w="4269"/>
      </w:tblGrid>
      <w:tr>
        <w:trPr/>
        <w:tc>
          <w:tcPr>
            <w:tcW w:w="4031"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left"/>
              <w:rPr/>
            </w:pPr>
            <w:r>
              <w:rPr/>
              <w:t> </w:t>
            </w:r>
          </w:p>
        </w:tc>
        <w:tc>
          <w:tcPr>
            <w:tcW w:w="4269" w:type="dxa"/>
            <w:tcBorders/>
            <w:vAlign w:val="center"/>
          </w:tcPr>
          <w:p>
            <w:pPr>
              <w:pStyle w:val="TableContents"/>
              <w:bidi w:val="0"/>
              <w:spacing w:before="0" w:after="283"/>
              <w:jc w:val="left"/>
              <w:rPr/>
            </w:pPr>
            <w:r>
              <w:rPr/>
              <w:t> </w:t>
            </w:r>
          </w:p>
        </w:tc>
      </w:tr>
      <w:tr>
        <w:trPr/>
        <w:tc>
          <w:tcPr>
            <w:tcW w:w="4031" w:type="dxa"/>
            <w:tcBorders/>
            <w:tcMar>
              <w:top w:w="0" w:type="dxa"/>
              <w:left w:w="0" w:type="dxa"/>
              <w:bottom w:w="0" w:type="dxa"/>
              <w:right w:w="0" w:type="dxa"/>
            </w:tcMar>
            <w:vAlign w:val="center"/>
          </w:tcPr>
          <w:p>
            <w:pPr>
              <w:pStyle w:val="TableContents"/>
              <w:bidi w:val="0"/>
              <w:spacing w:before="0" w:after="0"/>
              <w:jc w:val="center"/>
              <w:rPr/>
            </w:pPr>
            <w:r>
              <w:rPr>
                <w:color w:val="000000"/>
                <w:u w:val="single"/>
              </w:rPr>
              <w:t>Title of each class</w:t>
            </w:r>
            <w:r>
              <w:rPr/>
              <w:t xml:space="preserve"> </w:t>
            </w:r>
          </w:p>
        </w:tc>
        <w:tc>
          <w:tcPr>
            <w:tcW w:w="1905" w:type="dxa"/>
            <w:tcBorders/>
            <w:tcMar>
              <w:top w:w="0" w:type="dxa"/>
              <w:left w:w="0" w:type="dxa"/>
              <w:bottom w:w="0" w:type="dxa"/>
              <w:right w:w="0" w:type="dxa"/>
            </w:tcMar>
            <w:vAlign w:val="center"/>
          </w:tcPr>
          <w:p>
            <w:pPr>
              <w:pStyle w:val="TableContents"/>
              <w:bidi w:val="0"/>
              <w:spacing w:before="0" w:after="0"/>
              <w:jc w:val="center"/>
              <w:rPr/>
            </w:pPr>
            <w:r>
              <w:rPr>
                <w:color w:val="000000"/>
                <w:u w:val="single"/>
              </w:rPr>
              <w:t>Trading Symbol(s)</w:t>
            </w:r>
            <w:r>
              <w:rPr/>
              <w:t xml:space="preserve"> </w:t>
            </w:r>
          </w:p>
        </w:tc>
        <w:tc>
          <w:tcPr>
            <w:tcW w:w="4269" w:type="dxa"/>
            <w:tcBorders/>
            <w:tcMar>
              <w:top w:w="0" w:type="dxa"/>
              <w:left w:w="0" w:type="dxa"/>
              <w:bottom w:w="0" w:type="dxa"/>
              <w:right w:w="0" w:type="dxa"/>
            </w:tcMar>
            <w:vAlign w:val="center"/>
          </w:tcPr>
          <w:p>
            <w:pPr>
              <w:pStyle w:val="TableContents"/>
              <w:bidi w:val="0"/>
              <w:spacing w:before="0" w:after="0"/>
              <w:jc w:val="center"/>
              <w:rPr/>
            </w:pPr>
            <w:r>
              <w:rPr>
                <w:color w:val="000000"/>
                <w:u w:val="single"/>
              </w:rPr>
              <w:t>Name of each exchange on which registered</w:t>
            </w:r>
            <w:r>
              <w:rPr/>
              <w:t xml:space="preserve"> </w:t>
            </w:r>
          </w:p>
        </w:tc>
      </w:tr>
      <w:tr>
        <w:trPr/>
        <w:tc>
          <w:tcPr>
            <w:tcW w:w="4031" w:type="dxa"/>
            <w:tcBorders/>
            <w:tcMar>
              <w:top w:w="0" w:type="dxa"/>
              <w:left w:w="0" w:type="dxa"/>
              <w:bottom w:w="0" w:type="dxa"/>
              <w:right w:w="0" w:type="dxa"/>
            </w:tcMar>
            <w:vAlign w:val="center"/>
          </w:tcPr>
          <w:p>
            <w:pPr>
              <w:pStyle w:val="TableContents"/>
              <w:bidi w:val="0"/>
              <w:spacing w:before="0" w:after="0"/>
              <w:jc w:val="center"/>
              <w:rPr/>
            </w:pPr>
            <w:r>
              <w:rPr>
                <w:color w:val="000000"/>
              </w:rPr>
              <w:t>Common Stock, par value $0.01 per share</w:t>
            </w:r>
            <w:r>
              <w:rPr/>
              <w:t xml:space="preserve"> </w:t>
            </w:r>
          </w:p>
        </w:tc>
        <w:tc>
          <w:tcPr>
            <w:tcW w:w="1905" w:type="dxa"/>
            <w:tcBorders/>
            <w:tcMar>
              <w:top w:w="0" w:type="dxa"/>
              <w:left w:w="0" w:type="dxa"/>
              <w:bottom w:w="0" w:type="dxa"/>
              <w:right w:w="0" w:type="dxa"/>
            </w:tcMar>
            <w:vAlign w:val="center"/>
          </w:tcPr>
          <w:p>
            <w:pPr>
              <w:pStyle w:val="TableContents"/>
              <w:bidi w:val="0"/>
              <w:spacing w:before="0" w:after="0"/>
              <w:jc w:val="center"/>
              <w:rPr/>
            </w:pPr>
            <w:r>
              <w:rPr>
                <w:color w:val="000000"/>
              </w:rPr>
              <w:t>NBTB</w:t>
            </w:r>
            <w:r>
              <w:rPr/>
              <w:t xml:space="preserve"> </w:t>
            </w:r>
          </w:p>
        </w:tc>
        <w:tc>
          <w:tcPr>
            <w:tcW w:w="4269" w:type="dxa"/>
            <w:tcBorders/>
            <w:tcMar>
              <w:top w:w="0" w:type="dxa"/>
              <w:left w:w="0" w:type="dxa"/>
              <w:bottom w:w="0" w:type="dxa"/>
              <w:right w:w="0" w:type="dxa"/>
            </w:tcMar>
            <w:vAlign w:val="center"/>
          </w:tcPr>
          <w:p>
            <w:pPr>
              <w:pStyle w:val="TableContents"/>
              <w:bidi w:val="0"/>
              <w:spacing w:before="0" w:after="0"/>
              <w:jc w:val="center"/>
              <w:rPr/>
            </w:pPr>
            <w:r>
              <w:rPr>
                <w:color w:val="000000"/>
              </w:rPr>
              <w:t>The NASDAQ Stock Market LLC</w:t>
            </w: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986"/>
        <w:gridCol w:w="1683"/>
        <w:gridCol w:w="2103"/>
        <w:gridCol w:w="2172"/>
        <w:gridCol w:w="2261"/>
      </w:tblGrid>
      <w:tr>
        <w:trPr/>
        <w:tc>
          <w:tcPr>
            <w:tcW w:w="1986"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c>
          <w:tcPr>
            <w:tcW w:w="2103" w:type="dxa"/>
            <w:tcBorders/>
            <w:vAlign w:val="center"/>
          </w:tcPr>
          <w:p>
            <w:pPr>
              <w:pStyle w:val="TableContents"/>
              <w:bidi w:val="0"/>
              <w:spacing w:before="0" w:after="283"/>
              <w:jc w:val="left"/>
              <w:rPr/>
            </w:pPr>
            <w:r>
              <w:rPr/>
              <w:t> </w:t>
            </w:r>
          </w:p>
        </w:tc>
        <w:tc>
          <w:tcPr>
            <w:tcW w:w="2172" w:type="dxa"/>
            <w:tcBorders/>
            <w:vAlign w:val="center"/>
          </w:tcPr>
          <w:p>
            <w:pPr>
              <w:pStyle w:val="TableContents"/>
              <w:bidi w:val="0"/>
              <w:spacing w:before="0" w:after="283"/>
              <w:jc w:val="left"/>
              <w:rPr/>
            </w:pPr>
            <w:r>
              <w:rPr/>
              <w:t> </w:t>
            </w:r>
          </w:p>
        </w:tc>
        <w:tc>
          <w:tcPr>
            <w:tcW w:w="2261" w:type="dxa"/>
            <w:tcBorders/>
            <w:vAlign w:val="center"/>
          </w:tcPr>
          <w:p>
            <w:pPr>
              <w:pStyle w:val="TableContents"/>
              <w:bidi w:val="0"/>
              <w:spacing w:before="0" w:after="283"/>
              <w:jc w:val="left"/>
              <w:rPr/>
            </w:pPr>
            <w:r>
              <w:rPr/>
              <w:t> </w:t>
            </w:r>
          </w:p>
        </w:tc>
      </w:tr>
      <w:tr>
        <w:trPr/>
        <w:tc>
          <w:tcPr>
            <w:tcW w:w="1986" w:type="dxa"/>
            <w:tcBorders/>
            <w:tcMar>
              <w:top w:w="0" w:type="dxa"/>
              <w:left w:w="0" w:type="dxa"/>
              <w:bottom w:w="0" w:type="dxa"/>
              <w:right w:w="0" w:type="dxa"/>
            </w:tcMar>
            <w:vAlign w:val="center"/>
          </w:tcPr>
          <w:p>
            <w:pPr>
              <w:pStyle w:val="TableContents"/>
              <w:bidi w:val="0"/>
              <w:spacing w:before="0" w:after="0"/>
              <w:jc w:val="left"/>
              <w:rPr/>
            </w:pPr>
            <w:r>
              <w:rPr>
                <w:color w:val="000000"/>
              </w:rPr>
              <w:t>Large accelerated filer ☒</w:t>
            </w:r>
            <w:r>
              <w:rPr/>
              <w:t xml:space="preserve"> </w:t>
            </w:r>
          </w:p>
        </w:tc>
        <w:tc>
          <w:tcPr>
            <w:tcW w:w="1683" w:type="dxa"/>
            <w:tcBorders/>
            <w:tcMar>
              <w:top w:w="0" w:type="dxa"/>
              <w:left w:w="0" w:type="dxa"/>
              <w:bottom w:w="0" w:type="dxa"/>
              <w:right w:w="0" w:type="dxa"/>
            </w:tcMar>
            <w:vAlign w:val="center"/>
          </w:tcPr>
          <w:p>
            <w:pPr>
              <w:pStyle w:val="TableContents"/>
              <w:bidi w:val="0"/>
              <w:spacing w:before="0" w:after="0"/>
              <w:jc w:val="left"/>
              <w:rPr/>
            </w:pPr>
            <w:r>
              <w:rPr>
                <w:color w:val="000000"/>
              </w:rPr>
              <w:t>Accelerated filer ☐</w:t>
            </w:r>
            <w:r>
              <w:rPr/>
              <w:t xml:space="preserve"> </w:t>
            </w:r>
          </w:p>
        </w:tc>
        <w:tc>
          <w:tcPr>
            <w:tcW w:w="2103" w:type="dxa"/>
            <w:tcBorders/>
            <w:tcMar>
              <w:top w:w="0" w:type="dxa"/>
              <w:left w:w="0" w:type="dxa"/>
              <w:bottom w:w="0" w:type="dxa"/>
              <w:right w:w="0" w:type="dxa"/>
            </w:tcMar>
            <w:vAlign w:val="center"/>
          </w:tcPr>
          <w:p>
            <w:pPr>
              <w:pStyle w:val="TableContents"/>
              <w:bidi w:val="0"/>
              <w:spacing w:before="0" w:after="0"/>
              <w:jc w:val="left"/>
              <w:rPr/>
            </w:pPr>
            <w:r>
              <w:rPr>
                <w:color w:val="000000"/>
              </w:rPr>
              <w:t>Non-accelerated filer ☐</w:t>
            </w:r>
            <w:r>
              <w:rPr/>
              <w:t xml:space="preserve"> </w:t>
            </w:r>
          </w:p>
        </w:tc>
        <w:tc>
          <w:tcPr>
            <w:tcW w:w="2172" w:type="dxa"/>
            <w:tcBorders/>
            <w:tcMar>
              <w:top w:w="0" w:type="dxa"/>
              <w:left w:w="0" w:type="dxa"/>
              <w:bottom w:w="0" w:type="dxa"/>
              <w:right w:w="0" w:type="dxa"/>
            </w:tcMar>
            <w:vAlign w:val="center"/>
          </w:tcPr>
          <w:p>
            <w:pPr>
              <w:pStyle w:val="TableContents"/>
              <w:bidi w:val="0"/>
              <w:spacing w:before="0" w:after="0"/>
              <w:jc w:val="left"/>
              <w:rPr/>
            </w:pPr>
            <w:r>
              <w:rPr>
                <w:color w:val="000000"/>
              </w:rPr>
              <w:t>Smaller reporting company ☐</w:t>
            </w:r>
            <w:r>
              <w:rPr/>
              <w:t xml:space="preserve"> </w:t>
            </w:r>
          </w:p>
        </w:tc>
        <w:tc>
          <w:tcPr>
            <w:tcW w:w="2261" w:type="dxa"/>
            <w:tcBorders/>
            <w:tcMar>
              <w:top w:w="0" w:type="dxa"/>
              <w:left w:w="0" w:type="dxa"/>
              <w:bottom w:w="0" w:type="dxa"/>
              <w:right w:w="0" w:type="dxa"/>
            </w:tcMar>
            <w:vAlign w:val="center"/>
          </w:tcPr>
          <w:p>
            <w:pPr>
              <w:pStyle w:val="TableContents"/>
              <w:bidi w:val="0"/>
              <w:spacing w:before="0" w:after="0"/>
              <w:jc w:val="left"/>
              <w:rPr/>
            </w:pPr>
            <w:r>
              <w:rPr>
                <w:color w:val="000000"/>
              </w:rPr>
              <w:t>Emerging growth company ☐</w:t>
            </w: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Indicate by check mark whether the registrant is a shell company (as defined in Rule 12b-2 of the Exchange Act). Yes ☐ No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July 31, 2026, there were 51,960,061 shares outstanding of the Registrant’s Common Stock, $0.01 par value per share.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rFonts w:ascii="TimesNewRoman;Times New Roman;Times;Baskerville;Georgia;serif" w:hAnsi="TimesNewRoman;Times New Roman;Times;Baskerville;Georgia;serif"/>
          <w:b/>
          <w:color w:val="000000"/>
          <w:sz w:val="20"/>
        </w:rPr>
      </w:pPr>
      <w:r>
        <w:rPr>
          <w:rFonts w:ascii="TimesNewRoman;Times New Roman;Times;Baskerville;Georgia;serif" w:hAnsi="TimesNewRoman;Times New Roman;Times;Baskerville;Georgia;serif"/>
          <w:b/>
          <w:color w:val="000000"/>
          <w:sz w:val="20"/>
        </w:rPr>
        <w:t>FORM 10-Q - Quarter Ended June 30, 2026</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sz w:val="20"/>
        </w:rPr>
      </w:pPr>
      <w:bookmarkStart w:id="4" w:name="TABLE_OF_CONTENTS"/>
      <w:bookmarkEnd w:id="4"/>
      <w:r>
        <w:rPr>
          <w:rFonts w:ascii="TimesNewRoman;Times New Roman;Times;Baskerville;Georgia;serif" w:hAnsi="TimesNewRoman;Times New Roman;Times;Baskerville;Georgia;serif"/>
          <w:b/>
          <w:sz w:val="20"/>
        </w:rPr>
        <w:t>TABLE OF CONTENTS</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961"/>
        <w:gridCol w:w="8908"/>
        <w:gridCol w:w="336"/>
      </w:tblGrid>
      <w:tr>
        <w:trPr/>
        <w:tc>
          <w:tcPr>
            <w:tcW w:w="961"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r>
      <w:tr>
        <w:trPr/>
        <w:tc>
          <w:tcPr>
            <w:tcW w:w="961" w:type="dxa"/>
            <w:tcBorders/>
          </w:tcPr>
          <w:p>
            <w:pPr>
              <w:pStyle w:val="TableContents"/>
              <w:bidi w:val="0"/>
              <w:spacing w:before="0" w:after="0"/>
              <w:ind w:left="0" w:right="0" w:hanging="0"/>
              <w:jc w:val="left"/>
              <w:rPr>
                <w:b/>
              </w:rPr>
            </w:pPr>
            <w:r>
              <w:rPr>
                <w:b/>
              </w:rPr>
              <w:t>PART I</w:t>
            </w:r>
          </w:p>
        </w:tc>
        <w:tc>
          <w:tcPr>
            <w:tcW w:w="8908" w:type="dxa"/>
            <w:tcBorders/>
          </w:tcPr>
          <w:p>
            <w:pPr>
              <w:pStyle w:val="TableContents"/>
              <w:bidi w:val="0"/>
              <w:spacing w:before="0" w:after="0"/>
              <w:ind w:left="0" w:right="0" w:hanging="0"/>
              <w:jc w:val="left"/>
              <w:rPr>
                <w:b/>
              </w:rPr>
            </w:pPr>
            <w:r>
              <w:rPr>
                <w:b/>
              </w:rPr>
              <w:t>FINANCIAL INFORMATION</w:t>
            </w:r>
          </w:p>
        </w:tc>
        <w:tc>
          <w:tcPr>
            <w:tcW w:w="336" w:type="dxa"/>
            <w:tcBorders/>
          </w:tcPr>
          <w:p>
            <w:pPr>
              <w:pStyle w:val="TableContents"/>
              <w:bidi w:val="0"/>
              <w:spacing w:before="0" w:after="283"/>
              <w:jc w:val="left"/>
              <w:rPr/>
            </w:pPr>
            <w:r>
              <w:rPr/>
              <w:t> </w:t>
            </w:r>
          </w:p>
        </w:tc>
      </w:tr>
      <w:tr>
        <w:trPr/>
        <w:tc>
          <w:tcPr>
            <w:tcW w:w="961" w:type="dxa"/>
            <w:tcBorders/>
            <w:shd w:fill="CCEEFF" w:val="clear"/>
          </w:tcPr>
          <w:p>
            <w:pPr>
              <w:pStyle w:val="TableContents"/>
              <w:bidi w:val="0"/>
              <w:spacing w:before="0" w:after="0"/>
              <w:ind w:left="0" w:right="0" w:hanging="0"/>
              <w:jc w:val="left"/>
              <w:rPr/>
            </w:pPr>
            <w:r>
              <w:rPr/>
              <w:t>ITEM 1.</w:t>
            </w:r>
          </w:p>
        </w:tc>
        <w:tc>
          <w:tcPr>
            <w:tcW w:w="8908" w:type="dxa"/>
            <w:tcBorders/>
            <w:shd w:fill="CCEEFF" w:val="clear"/>
          </w:tcPr>
          <w:p>
            <w:pPr>
              <w:pStyle w:val="TableContents"/>
              <w:bidi w:val="0"/>
              <w:spacing w:before="0" w:after="0"/>
              <w:ind w:left="0" w:right="0" w:hanging="0"/>
              <w:jc w:val="left"/>
              <w:rPr/>
            </w:pPr>
            <w:hyperlink w:anchor="FINANCIAL_STATEMENTS">
              <w:r>
                <w:rPr>
                  <w:rStyle w:val="InternetLink"/>
                </w:rPr>
                <w:t>FINANCIAL STATEMENTS (Unaudited)</w:t>
              </w:r>
            </w:hyperlink>
          </w:p>
        </w:tc>
        <w:tc>
          <w:tcPr>
            <w:tcW w:w="336" w:type="dxa"/>
            <w:tcBorders/>
            <w:shd w:fill="CCEEFF" w:val="clear"/>
          </w:tcPr>
          <w:p>
            <w:pPr>
              <w:pStyle w:val="TableContents"/>
              <w:bidi w:val="0"/>
              <w:spacing w:before="0" w:after="283"/>
              <w:jc w:val="left"/>
              <w:rPr/>
            </w:pPr>
            <w:r>
              <w:rPr/>
              <w:t> </w:t>
            </w:r>
          </w:p>
        </w:tc>
      </w:tr>
      <w:tr>
        <w:trPr/>
        <w:tc>
          <w:tcPr>
            <w:tcW w:w="961" w:type="dxa"/>
            <w:tcBorders/>
          </w:tcPr>
          <w:p>
            <w:pPr>
              <w:pStyle w:val="TableContents"/>
              <w:bidi w:val="0"/>
              <w:spacing w:before="0" w:after="283"/>
              <w:jc w:val="left"/>
              <w:rPr/>
            </w:pPr>
            <w:r>
              <w:rPr/>
              <w:t> </w:t>
            </w:r>
          </w:p>
        </w:tc>
        <w:tc>
          <w:tcPr>
            <w:tcW w:w="8908" w:type="dxa"/>
            <w:tcBorders/>
          </w:tcPr>
          <w:p>
            <w:pPr>
              <w:pStyle w:val="TableContents"/>
              <w:bidi w:val="0"/>
              <w:spacing w:before="0" w:after="0"/>
              <w:ind w:left="0" w:right="0" w:hanging="0"/>
              <w:jc w:val="left"/>
              <w:rPr/>
            </w:pPr>
            <w:hyperlink w:anchor="Balance_Sheets">
              <w:r>
                <w:rPr>
                  <w:rStyle w:val="InternetLink"/>
                </w:rPr>
                <w:t>Consolidated Balance Sheets</w:t>
              </w:r>
            </w:hyperlink>
          </w:p>
        </w:tc>
        <w:tc>
          <w:tcPr>
            <w:tcW w:w="336" w:type="dxa"/>
            <w:tcBorders/>
          </w:tcPr>
          <w:p>
            <w:pPr>
              <w:pStyle w:val="TableContents"/>
              <w:bidi w:val="0"/>
              <w:spacing w:before="0" w:after="0"/>
              <w:ind w:left="0" w:right="0" w:hanging="0"/>
              <w:jc w:val="right"/>
              <w:rPr/>
            </w:pPr>
            <w:r>
              <w:rPr/>
              <w:t>4</w:t>
            </w:r>
          </w:p>
        </w:tc>
      </w:tr>
      <w:tr>
        <w:trPr/>
        <w:tc>
          <w:tcPr>
            <w:tcW w:w="961" w:type="dxa"/>
            <w:tcBorders/>
            <w:shd w:fill="CCEEFF" w:val="clear"/>
          </w:tcPr>
          <w:p>
            <w:pPr>
              <w:pStyle w:val="TableContents"/>
              <w:bidi w:val="0"/>
              <w:spacing w:before="0" w:after="283"/>
              <w:jc w:val="left"/>
              <w:rPr/>
            </w:pPr>
            <w:r>
              <w:rPr/>
              <w:t> </w:t>
            </w:r>
          </w:p>
        </w:tc>
        <w:tc>
          <w:tcPr>
            <w:tcW w:w="8908" w:type="dxa"/>
            <w:tcBorders/>
            <w:shd w:fill="CCEEFF" w:val="clear"/>
          </w:tcPr>
          <w:p>
            <w:pPr>
              <w:pStyle w:val="TableContents"/>
              <w:bidi w:val="0"/>
              <w:spacing w:before="0" w:after="0"/>
              <w:ind w:left="0" w:right="0" w:hanging="0"/>
              <w:jc w:val="left"/>
              <w:rPr/>
            </w:pPr>
            <w:hyperlink w:anchor="Statements_of_Income">
              <w:r>
                <w:rPr>
                  <w:rStyle w:val="InternetLink"/>
                </w:rPr>
                <w:t>Consolidated Statements of Income</w:t>
              </w:r>
            </w:hyperlink>
            <w:r>
              <w:rPr/>
              <w:t xml:space="preserve"> </w:t>
            </w:r>
          </w:p>
        </w:tc>
        <w:tc>
          <w:tcPr>
            <w:tcW w:w="336" w:type="dxa"/>
            <w:tcBorders/>
            <w:shd w:fill="CCEEFF" w:val="clear"/>
          </w:tcPr>
          <w:p>
            <w:pPr>
              <w:pStyle w:val="TableContents"/>
              <w:bidi w:val="0"/>
              <w:spacing w:before="0" w:after="0"/>
              <w:ind w:left="0" w:right="0" w:hanging="0"/>
              <w:jc w:val="right"/>
              <w:rPr/>
            </w:pPr>
            <w:r>
              <w:rPr/>
              <w:t>5</w:t>
            </w:r>
          </w:p>
        </w:tc>
      </w:tr>
      <w:tr>
        <w:trPr/>
        <w:tc>
          <w:tcPr>
            <w:tcW w:w="961" w:type="dxa"/>
            <w:tcBorders/>
          </w:tcPr>
          <w:p>
            <w:pPr>
              <w:pStyle w:val="TableContents"/>
              <w:bidi w:val="0"/>
              <w:spacing w:before="0" w:after="283"/>
              <w:jc w:val="left"/>
              <w:rPr/>
            </w:pPr>
            <w:r>
              <w:rPr/>
              <w:t> </w:t>
            </w:r>
          </w:p>
        </w:tc>
        <w:tc>
          <w:tcPr>
            <w:tcW w:w="8908" w:type="dxa"/>
            <w:tcBorders/>
          </w:tcPr>
          <w:p>
            <w:pPr>
              <w:pStyle w:val="TableContents"/>
              <w:bidi w:val="0"/>
              <w:spacing w:before="0" w:after="0"/>
              <w:ind w:left="0" w:right="0" w:hanging="0"/>
              <w:jc w:val="left"/>
              <w:rPr/>
            </w:pPr>
            <w:hyperlink w:anchor="Comprehensive_Income">
              <w:r>
                <w:rPr>
                  <w:rStyle w:val="InternetLink"/>
                </w:rPr>
                <w:t>Consolidated Statements of Comprehensive Income (Loss)</w:t>
              </w:r>
            </w:hyperlink>
            <w:r>
              <w:rPr/>
              <w:t xml:space="preserve"> </w:t>
            </w:r>
          </w:p>
        </w:tc>
        <w:tc>
          <w:tcPr>
            <w:tcW w:w="336" w:type="dxa"/>
            <w:tcBorders/>
          </w:tcPr>
          <w:p>
            <w:pPr>
              <w:pStyle w:val="TableContents"/>
              <w:bidi w:val="0"/>
              <w:spacing w:before="0" w:after="0"/>
              <w:ind w:left="0" w:right="0" w:hanging="0"/>
              <w:jc w:val="right"/>
              <w:rPr/>
            </w:pPr>
            <w:r>
              <w:rPr/>
              <w:t>6</w:t>
            </w:r>
          </w:p>
        </w:tc>
      </w:tr>
      <w:tr>
        <w:trPr/>
        <w:tc>
          <w:tcPr>
            <w:tcW w:w="961" w:type="dxa"/>
            <w:tcBorders/>
            <w:shd w:fill="CCEEFF" w:val="clear"/>
          </w:tcPr>
          <w:p>
            <w:pPr>
              <w:pStyle w:val="TableContents"/>
              <w:bidi w:val="0"/>
              <w:spacing w:before="0" w:after="283"/>
              <w:jc w:val="left"/>
              <w:rPr/>
            </w:pPr>
            <w:r>
              <w:rPr/>
              <w:t> </w:t>
            </w:r>
          </w:p>
        </w:tc>
        <w:tc>
          <w:tcPr>
            <w:tcW w:w="8908" w:type="dxa"/>
            <w:tcBorders/>
            <w:shd w:fill="CCEEFF" w:val="clear"/>
          </w:tcPr>
          <w:p>
            <w:pPr>
              <w:pStyle w:val="TableContents"/>
              <w:bidi w:val="0"/>
              <w:spacing w:before="0" w:after="0"/>
              <w:ind w:left="0" w:right="0" w:hanging="0"/>
              <w:jc w:val="left"/>
              <w:rPr/>
            </w:pPr>
            <w:hyperlink w:anchor="Stockholders_Equity">
              <w:r>
                <w:rPr>
                  <w:rStyle w:val="InternetLink"/>
                </w:rPr>
                <w:t>Consolidated Statements of Changes in Stockholders’ Equity</w:t>
              </w:r>
            </w:hyperlink>
            <w:r>
              <w:rPr/>
              <w:t xml:space="preserve"> </w:t>
            </w:r>
          </w:p>
        </w:tc>
        <w:tc>
          <w:tcPr>
            <w:tcW w:w="336" w:type="dxa"/>
            <w:tcBorders/>
            <w:shd w:fill="CCEEFF" w:val="clear"/>
          </w:tcPr>
          <w:p>
            <w:pPr>
              <w:pStyle w:val="TableContents"/>
              <w:bidi w:val="0"/>
              <w:spacing w:before="0" w:after="0"/>
              <w:ind w:left="0" w:right="0" w:hanging="0"/>
              <w:jc w:val="right"/>
              <w:rPr/>
            </w:pPr>
            <w:r>
              <w:rPr/>
              <w:t>7</w:t>
            </w:r>
          </w:p>
        </w:tc>
      </w:tr>
      <w:tr>
        <w:trPr/>
        <w:tc>
          <w:tcPr>
            <w:tcW w:w="961" w:type="dxa"/>
            <w:tcBorders/>
          </w:tcPr>
          <w:p>
            <w:pPr>
              <w:pStyle w:val="TableContents"/>
              <w:bidi w:val="0"/>
              <w:spacing w:before="0" w:after="283"/>
              <w:jc w:val="left"/>
              <w:rPr/>
            </w:pPr>
            <w:r>
              <w:rPr/>
              <w:t> </w:t>
            </w:r>
          </w:p>
        </w:tc>
        <w:tc>
          <w:tcPr>
            <w:tcW w:w="8908" w:type="dxa"/>
            <w:tcBorders/>
          </w:tcPr>
          <w:p>
            <w:pPr>
              <w:pStyle w:val="TableContents"/>
              <w:bidi w:val="0"/>
              <w:spacing w:before="0" w:after="0"/>
              <w:ind w:left="0" w:right="0" w:hanging="0"/>
              <w:jc w:val="left"/>
              <w:rPr/>
            </w:pPr>
            <w:hyperlink w:anchor="Cash_Flows">
              <w:r>
                <w:rPr>
                  <w:rStyle w:val="InternetLink"/>
                </w:rPr>
                <w:t>Consolidated Statements of Cash Flows</w:t>
              </w:r>
            </w:hyperlink>
            <w:r>
              <w:rPr/>
              <w:t xml:space="preserve"> </w:t>
            </w:r>
          </w:p>
        </w:tc>
        <w:tc>
          <w:tcPr>
            <w:tcW w:w="336" w:type="dxa"/>
            <w:tcBorders/>
          </w:tcPr>
          <w:p>
            <w:pPr>
              <w:pStyle w:val="TableContents"/>
              <w:bidi w:val="0"/>
              <w:spacing w:before="0" w:after="0"/>
              <w:ind w:left="0" w:right="0" w:hanging="0"/>
              <w:jc w:val="right"/>
              <w:rPr/>
            </w:pPr>
            <w:r>
              <w:rPr/>
              <w:t>8</w:t>
            </w:r>
          </w:p>
        </w:tc>
      </w:tr>
      <w:tr>
        <w:trPr/>
        <w:tc>
          <w:tcPr>
            <w:tcW w:w="961" w:type="dxa"/>
            <w:tcBorders/>
            <w:shd w:fill="CCEEFF" w:val="clear"/>
          </w:tcPr>
          <w:p>
            <w:pPr>
              <w:pStyle w:val="TableContents"/>
              <w:bidi w:val="0"/>
              <w:spacing w:before="0" w:after="283"/>
              <w:jc w:val="left"/>
              <w:rPr/>
            </w:pPr>
            <w:r>
              <w:rPr/>
              <w:t> </w:t>
            </w:r>
          </w:p>
        </w:tc>
        <w:tc>
          <w:tcPr>
            <w:tcW w:w="8908" w:type="dxa"/>
            <w:tcBorders/>
            <w:shd w:fill="CCEEFF" w:val="clear"/>
          </w:tcPr>
          <w:p>
            <w:pPr>
              <w:pStyle w:val="TableContents"/>
              <w:bidi w:val="0"/>
              <w:spacing w:before="0" w:after="0"/>
              <w:ind w:left="0" w:right="0" w:hanging="0"/>
              <w:jc w:val="left"/>
              <w:rPr/>
            </w:pPr>
            <w:hyperlink w:anchor="Notes">
              <w:r>
                <w:rPr>
                  <w:rStyle w:val="InternetLink"/>
                </w:rPr>
                <w:t>Notes to Unaudited Interim Consolidated Financial Statements</w:t>
              </w:r>
            </w:hyperlink>
          </w:p>
        </w:tc>
        <w:tc>
          <w:tcPr>
            <w:tcW w:w="336" w:type="dxa"/>
            <w:tcBorders/>
            <w:shd w:fill="CCEEFF" w:val="clear"/>
          </w:tcPr>
          <w:p>
            <w:pPr>
              <w:pStyle w:val="TableContents"/>
              <w:bidi w:val="0"/>
              <w:spacing w:before="0" w:after="0"/>
              <w:ind w:left="0" w:right="0" w:hanging="0"/>
              <w:jc w:val="right"/>
              <w:rPr/>
            </w:pPr>
            <w:r>
              <w:rPr/>
              <w:t>10</w:t>
            </w:r>
          </w:p>
        </w:tc>
      </w:tr>
      <w:tr>
        <w:trPr/>
        <w:tc>
          <w:tcPr>
            <w:tcW w:w="961" w:type="dxa"/>
            <w:tcBorders/>
          </w:tcPr>
          <w:p>
            <w:pPr>
              <w:pStyle w:val="TableContents"/>
              <w:bidi w:val="0"/>
              <w:spacing w:before="0" w:after="0"/>
              <w:ind w:left="0" w:right="0" w:hanging="0"/>
              <w:jc w:val="left"/>
              <w:rPr/>
            </w:pPr>
            <w:r>
              <w:rPr/>
              <w:t>ITEM 2.</w:t>
            </w:r>
          </w:p>
        </w:tc>
        <w:tc>
          <w:tcPr>
            <w:tcW w:w="8908" w:type="dxa"/>
            <w:tcBorders/>
          </w:tcPr>
          <w:p>
            <w:pPr>
              <w:pStyle w:val="TableContents"/>
              <w:bidi w:val="0"/>
              <w:spacing w:before="0" w:after="0"/>
              <w:ind w:left="0" w:right="0" w:hanging="0"/>
              <w:jc w:val="left"/>
              <w:rPr/>
            </w:pPr>
            <w:hyperlink w:anchor="MANAGEMENTS_DISCUSSION_AND_ANALYSIS">
              <w:r>
                <w:rPr>
                  <w:rStyle w:val="InternetLink"/>
                </w:rPr>
                <w:t>MANAGEMENT’S DISCUSSION AND ANALYSIS OF FINANCIAL CONDITION AND RESULTS OF OPERATIONS</w:t>
              </w:r>
            </w:hyperlink>
          </w:p>
        </w:tc>
        <w:tc>
          <w:tcPr>
            <w:tcW w:w="336" w:type="dxa"/>
            <w:tcBorders/>
          </w:tcPr>
          <w:p>
            <w:pPr>
              <w:pStyle w:val="TableContents"/>
              <w:bidi w:val="0"/>
              <w:spacing w:before="0" w:after="0"/>
              <w:ind w:left="0" w:right="0" w:hanging="0"/>
              <w:jc w:val="right"/>
              <w:rPr/>
            </w:pPr>
            <w:r>
              <w:rPr/>
              <w:t>37</w:t>
            </w:r>
          </w:p>
        </w:tc>
      </w:tr>
      <w:tr>
        <w:trPr/>
        <w:tc>
          <w:tcPr>
            <w:tcW w:w="961" w:type="dxa"/>
            <w:tcBorders/>
            <w:shd w:fill="CCEEFF" w:val="clear"/>
          </w:tcPr>
          <w:p>
            <w:pPr>
              <w:pStyle w:val="TableContents"/>
              <w:bidi w:val="0"/>
              <w:spacing w:before="0" w:after="0"/>
              <w:ind w:left="0" w:right="0" w:hanging="0"/>
              <w:jc w:val="left"/>
              <w:rPr/>
            </w:pPr>
            <w:r>
              <w:rPr/>
              <w:t>ITEM 3.</w:t>
            </w:r>
          </w:p>
        </w:tc>
        <w:tc>
          <w:tcPr>
            <w:tcW w:w="8908" w:type="dxa"/>
            <w:tcBorders/>
            <w:shd w:fill="CCEEFF" w:val="clear"/>
          </w:tcPr>
          <w:p>
            <w:pPr>
              <w:pStyle w:val="TableContents"/>
              <w:bidi w:val="0"/>
              <w:spacing w:before="0" w:after="0"/>
              <w:ind w:left="0" w:right="0" w:hanging="0"/>
              <w:jc w:val="left"/>
              <w:rPr/>
            </w:pPr>
            <w:hyperlink w:anchor="QUANTITATIVE_AND_QUALITATIVE">
              <w:r>
                <w:rPr>
                  <w:rStyle w:val="InternetLink"/>
                </w:rPr>
                <w:t>QUANTITATIVE AND QUALITATIVE DISCLOSURES ABOUT MARKET RISK</w:t>
              </w:r>
            </w:hyperlink>
          </w:p>
        </w:tc>
        <w:tc>
          <w:tcPr>
            <w:tcW w:w="336" w:type="dxa"/>
            <w:tcBorders/>
            <w:shd w:fill="CCEEFF" w:val="clear"/>
          </w:tcPr>
          <w:p>
            <w:pPr>
              <w:pStyle w:val="TableContents"/>
              <w:bidi w:val="0"/>
              <w:spacing w:before="0" w:after="0"/>
              <w:ind w:left="0" w:right="0" w:hanging="0"/>
              <w:jc w:val="right"/>
              <w:rPr/>
            </w:pPr>
            <w:r>
              <w:rPr/>
              <w:t>57</w:t>
            </w:r>
          </w:p>
        </w:tc>
      </w:tr>
      <w:tr>
        <w:trPr/>
        <w:tc>
          <w:tcPr>
            <w:tcW w:w="961" w:type="dxa"/>
            <w:tcBorders/>
          </w:tcPr>
          <w:p>
            <w:pPr>
              <w:pStyle w:val="TableContents"/>
              <w:bidi w:val="0"/>
              <w:spacing w:before="0" w:after="0"/>
              <w:ind w:left="0" w:right="0" w:hanging="0"/>
              <w:jc w:val="left"/>
              <w:rPr/>
            </w:pPr>
            <w:r>
              <w:rPr/>
              <w:t>ITEM 4.</w:t>
            </w:r>
          </w:p>
        </w:tc>
        <w:tc>
          <w:tcPr>
            <w:tcW w:w="8908" w:type="dxa"/>
            <w:tcBorders/>
          </w:tcPr>
          <w:p>
            <w:pPr>
              <w:pStyle w:val="TableContents"/>
              <w:bidi w:val="0"/>
              <w:spacing w:before="0" w:after="0"/>
              <w:ind w:left="0" w:right="0" w:hanging="0"/>
              <w:jc w:val="left"/>
              <w:rPr/>
            </w:pPr>
            <w:hyperlink w:anchor="CONTROLS_AND_PROCEDURES">
              <w:r>
                <w:rPr>
                  <w:rStyle w:val="InternetLink"/>
                </w:rPr>
                <w:t>CONTROLS AND PROCEDURES</w:t>
              </w:r>
            </w:hyperlink>
          </w:p>
        </w:tc>
        <w:tc>
          <w:tcPr>
            <w:tcW w:w="336" w:type="dxa"/>
            <w:tcBorders/>
          </w:tcPr>
          <w:p>
            <w:pPr>
              <w:pStyle w:val="TableContents"/>
              <w:bidi w:val="0"/>
              <w:spacing w:before="0" w:after="0"/>
              <w:ind w:left="0" w:right="0" w:hanging="0"/>
              <w:jc w:val="right"/>
              <w:rPr/>
            </w:pPr>
            <w:r>
              <w:rPr/>
              <w:t>57</w:t>
            </w:r>
          </w:p>
        </w:tc>
      </w:tr>
      <w:tr>
        <w:trPr/>
        <w:tc>
          <w:tcPr>
            <w:tcW w:w="961" w:type="dxa"/>
            <w:tcBorders/>
            <w:shd w:fill="CCEEFF" w:val="clear"/>
          </w:tcPr>
          <w:p>
            <w:pPr>
              <w:pStyle w:val="TableContents"/>
              <w:bidi w:val="0"/>
              <w:spacing w:before="0" w:after="283"/>
              <w:jc w:val="left"/>
              <w:rPr/>
            </w:pPr>
            <w:r>
              <w:rPr/>
              <w:t> </w:t>
            </w:r>
          </w:p>
        </w:tc>
        <w:tc>
          <w:tcPr>
            <w:tcW w:w="8908" w:type="dxa"/>
            <w:tcBorders/>
            <w:shd w:fill="CCEEFF" w:val="clear"/>
          </w:tcPr>
          <w:p>
            <w:pPr>
              <w:pStyle w:val="TableContents"/>
              <w:bidi w:val="0"/>
              <w:spacing w:before="0" w:after="283"/>
              <w:jc w:val="left"/>
              <w:rPr/>
            </w:pPr>
            <w:r>
              <w:rPr/>
              <w:t> </w:t>
            </w:r>
          </w:p>
        </w:tc>
        <w:tc>
          <w:tcPr>
            <w:tcW w:w="336" w:type="dxa"/>
            <w:tcBorders/>
            <w:shd w:fill="CCEEFF" w:val="clear"/>
          </w:tcPr>
          <w:p>
            <w:pPr>
              <w:pStyle w:val="TableContents"/>
              <w:bidi w:val="0"/>
              <w:spacing w:before="0" w:after="283"/>
              <w:jc w:val="right"/>
              <w:rPr/>
            </w:pPr>
            <w:r>
              <w:rPr/>
              <w:t> </w:t>
            </w:r>
          </w:p>
        </w:tc>
      </w:tr>
      <w:tr>
        <w:trPr/>
        <w:tc>
          <w:tcPr>
            <w:tcW w:w="961" w:type="dxa"/>
            <w:tcBorders/>
          </w:tcPr>
          <w:p>
            <w:pPr>
              <w:pStyle w:val="TableContents"/>
              <w:bidi w:val="0"/>
              <w:spacing w:before="0" w:after="0"/>
              <w:ind w:left="0" w:right="0" w:hanging="0"/>
              <w:jc w:val="left"/>
              <w:rPr>
                <w:b/>
              </w:rPr>
            </w:pPr>
            <w:r>
              <w:rPr>
                <w:b/>
              </w:rPr>
              <w:t>PART II</w:t>
            </w:r>
          </w:p>
        </w:tc>
        <w:tc>
          <w:tcPr>
            <w:tcW w:w="8908" w:type="dxa"/>
            <w:tcBorders/>
          </w:tcPr>
          <w:p>
            <w:pPr>
              <w:pStyle w:val="TableContents"/>
              <w:bidi w:val="0"/>
              <w:spacing w:before="0" w:after="0"/>
              <w:ind w:left="0" w:right="0" w:hanging="0"/>
              <w:jc w:val="left"/>
              <w:rPr>
                <w:b/>
              </w:rPr>
            </w:pPr>
            <w:r>
              <w:rPr>
                <w:b/>
              </w:rPr>
              <w:t>OTHER INFORMATION</w:t>
            </w:r>
          </w:p>
        </w:tc>
        <w:tc>
          <w:tcPr>
            <w:tcW w:w="336" w:type="dxa"/>
            <w:tcBorders/>
          </w:tcPr>
          <w:p>
            <w:pPr>
              <w:pStyle w:val="TableContents"/>
              <w:bidi w:val="0"/>
              <w:spacing w:before="0" w:after="283"/>
              <w:jc w:val="right"/>
              <w:rPr/>
            </w:pPr>
            <w:r>
              <w:rPr/>
              <w:t> </w:t>
            </w:r>
          </w:p>
        </w:tc>
      </w:tr>
      <w:tr>
        <w:trPr/>
        <w:tc>
          <w:tcPr>
            <w:tcW w:w="961" w:type="dxa"/>
            <w:tcBorders/>
            <w:shd w:fill="CCEEFF" w:val="clear"/>
          </w:tcPr>
          <w:p>
            <w:pPr>
              <w:pStyle w:val="TableContents"/>
              <w:bidi w:val="0"/>
              <w:spacing w:before="0" w:after="0"/>
              <w:ind w:left="0" w:right="0" w:hanging="0"/>
              <w:jc w:val="left"/>
              <w:rPr/>
            </w:pPr>
            <w:r>
              <w:rPr/>
              <w:t>ITEM 1.</w:t>
            </w:r>
          </w:p>
        </w:tc>
        <w:tc>
          <w:tcPr>
            <w:tcW w:w="8908" w:type="dxa"/>
            <w:tcBorders/>
            <w:shd w:fill="CCEEFF" w:val="clear"/>
          </w:tcPr>
          <w:p>
            <w:pPr>
              <w:pStyle w:val="TableContents"/>
              <w:bidi w:val="0"/>
              <w:spacing w:before="0" w:after="0"/>
              <w:ind w:left="0" w:right="0" w:hanging="0"/>
              <w:jc w:val="left"/>
              <w:rPr/>
            </w:pPr>
            <w:hyperlink w:anchor="ITEM_1">
              <w:r>
                <w:rPr>
                  <w:rStyle w:val="InternetLink"/>
                </w:rPr>
                <w:t>LEGAL PROCEEDINGS</w:t>
              </w:r>
            </w:hyperlink>
          </w:p>
        </w:tc>
        <w:tc>
          <w:tcPr>
            <w:tcW w:w="336" w:type="dxa"/>
            <w:tcBorders/>
            <w:shd w:fill="CCEEFF" w:val="clear"/>
          </w:tcPr>
          <w:p>
            <w:pPr>
              <w:pStyle w:val="TableContents"/>
              <w:bidi w:val="0"/>
              <w:spacing w:before="0" w:after="0"/>
              <w:ind w:left="0" w:right="0" w:hanging="0"/>
              <w:jc w:val="right"/>
              <w:rPr/>
            </w:pPr>
            <w:r>
              <w:rPr/>
              <w:t>57</w:t>
            </w:r>
          </w:p>
        </w:tc>
      </w:tr>
      <w:tr>
        <w:trPr/>
        <w:tc>
          <w:tcPr>
            <w:tcW w:w="961" w:type="dxa"/>
            <w:tcBorders/>
          </w:tcPr>
          <w:p>
            <w:pPr>
              <w:pStyle w:val="TableContents"/>
              <w:bidi w:val="0"/>
              <w:spacing w:before="0" w:after="0"/>
              <w:ind w:left="0" w:right="0" w:hanging="0"/>
              <w:jc w:val="left"/>
              <w:rPr/>
            </w:pPr>
            <w:r>
              <w:rPr/>
              <w:t>ITEM 1A.</w:t>
            </w:r>
          </w:p>
        </w:tc>
        <w:tc>
          <w:tcPr>
            <w:tcW w:w="8908" w:type="dxa"/>
            <w:tcBorders/>
          </w:tcPr>
          <w:p>
            <w:pPr>
              <w:pStyle w:val="TableContents"/>
              <w:bidi w:val="0"/>
              <w:spacing w:before="0" w:after="0"/>
              <w:ind w:left="0" w:right="0" w:hanging="0"/>
              <w:jc w:val="left"/>
              <w:rPr/>
            </w:pPr>
            <w:hyperlink w:anchor="Item_1A">
              <w:r>
                <w:rPr>
                  <w:rStyle w:val="InternetLink"/>
                </w:rPr>
                <w:t>RISK FACTORS</w:t>
              </w:r>
            </w:hyperlink>
          </w:p>
        </w:tc>
        <w:tc>
          <w:tcPr>
            <w:tcW w:w="336" w:type="dxa"/>
            <w:tcBorders/>
          </w:tcPr>
          <w:p>
            <w:pPr>
              <w:pStyle w:val="TableContents"/>
              <w:bidi w:val="0"/>
              <w:spacing w:before="0" w:after="0"/>
              <w:ind w:left="0" w:right="0" w:hanging="0"/>
              <w:jc w:val="right"/>
              <w:rPr/>
            </w:pPr>
            <w:r>
              <w:rPr/>
              <w:t>57</w:t>
            </w:r>
          </w:p>
        </w:tc>
      </w:tr>
      <w:tr>
        <w:trPr/>
        <w:tc>
          <w:tcPr>
            <w:tcW w:w="961" w:type="dxa"/>
            <w:tcBorders/>
            <w:shd w:fill="CCEEFF" w:val="clear"/>
          </w:tcPr>
          <w:p>
            <w:pPr>
              <w:pStyle w:val="TableContents"/>
              <w:bidi w:val="0"/>
              <w:spacing w:before="0" w:after="0"/>
              <w:ind w:left="0" w:right="0" w:hanging="0"/>
              <w:jc w:val="left"/>
              <w:rPr/>
            </w:pPr>
            <w:r>
              <w:rPr/>
              <w:t>ITEM 2.</w:t>
            </w:r>
          </w:p>
        </w:tc>
        <w:tc>
          <w:tcPr>
            <w:tcW w:w="8908" w:type="dxa"/>
            <w:tcBorders/>
            <w:shd w:fill="CCEEFF" w:val="clear"/>
          </w:tcPr>
          <w:p>
            <w:pPr>
              <w:pStyle w:val="TableContents"/>
              <w:bidi w:val="0"/>
              <w:spacing w:before="0" w:after="0"/>
              <w:ind w:left="0" w:right="0" w:hanging="0"/>
              <w:jc w:val="left"/>
              <w:rPr/>
            </w:pPr>
            <w:hyperlink w:anchor="ITEM_2">
              <w:r>
                <w:rPr>
                  <w:rStyle w:val="InternetLink"/>
                </w:rPr>
                <w:t>UNREGISTERED SALES OF EQUITY SECURITIES AND USE OF PROCEEDS</w:t>
              </w:r>
            </w:hyperlink>
          </w:p>
        </w:tc>
        <w:tc>
          <w:tcPr>
            <w:tcW w:w="336" w:type="dxa"/>
            <w:tcBorders/>
            <w:shd w:fill="CCEEFF" w:val="clear"/>
          </w:tcPr>
          <w:p>
            <w:pPr>
              <w:pStyle w:val="TableContents"/>
              <w:bidi w:val="0"/>
              <w:spacing w:before="0" w:after="0"/>
              <w:ind w:left="0" w:right="0" w:hanging="0"/>
              <w:jc w:val="right"/>
              <w:rPr/>
            </w:pPr>
            <w:r>
              <w:rPr/>
              <w:t>57</w:t>
            </w:r>
          </w:p>
        </w:tc>
      </w:tr>
      <w:tr>
        <w:trPr/>
        <w:tc>
          <w:tcPr>
            <w:tcW w:w="961" w:type="dxa"/>
            <w:tcBorders/>
          </w:tcPr>
          <w:p>
            <w:pPr>
              <w:pStyle w:val="TableContents"/>
              <w:bidi w:val="0"/>
              <w:spacing w:before="0" w:after="0"/>
              <w:ind w:left="0" w:right="0" w:hanging="0"/>
              <w:jc w:val="left"/>
              <w:rPr/>
            </w:pPr>
            <w:r>
              <w:rPr/>
              <w:t>ITEM 3.</w:t>
            </w:r>
          </w:p>
        </w:tc>
        <w:tc>
          <w:tcPr>
            <w:tcW w:w="8908" w:type="dxa"/>
            <w:tcBorders/>
          </w:tcPr>
          <w:p>
            <w:pPr>
              <w:pStyle w:val="TableContents"/>
              <w:bidi w:val="0"/>
              <w:spacing w:before="0" w:after="0"/>
              <w:ind w:left="0" w:right="0" w:hanging="0"/>
              <w:jc w:val="left"/>
              <w:rPr/>
            </w:pPr>
            <w:hyperlink w:anchor="ITEM_3">
              <w:r>
                <w:rPr>
                  <w:rStyle w:val="InternetLink"/>
                </w:rPr>
                <w:t>DEFAULTS UPON SENIOR SECURITIES</w:t>
              </w:r>
            </w:hyperlink>
          </w:p>
        </w:tc>
        <w:tc>
          <w:tcPr>
            <w:tcW w:w="336" w:type="dxa"/>
            <w:tcBorders/>
          </w:tcPr>
          <w:p>
            <w:pPr>
              <w:pStyle w:val="TableContents"/>
              <w:bidi w:val="0"/>
              <w:spacing w:before="0" w:after="0"/>
              <w:ind w:left="0" w:right="0" w:hanging="0"/>
              <w:jc w:val="right"/>
              <w:rPr/>
            </w:pPr>
            <w:r>
              <w:rPr/>
              <w:t>57</w:t>
            </w:r>
          </w:p>
        </w:tc>
      </w:tr>
      <w:tr>
        <w:trPr/>
        <w:tc>
          <w:tcPr>
            <w:tcW w:w="961" w:type="dxa"/>
            <w:tcBorders/>
            <w:shd w:fill="CCEEFF" w:val="clear"/>
          </w:tcPr>
          <w:p>
            <w:pPr>
              <w:pStyle w:val="TableContents"/>
              <w:bidi w:val="0"/>
              <w:spacing w:before="0" w:after="0"/>
              <w:ind w:left="0" w:right="0" w:hanging="0"/>
              <w:jc w:val="left"/>
              <w:rPr/>
            </w:pPr>
            <w:r>
              <w:rPr/>
              <w:t>ITEM 4.</w:t>
            </w:r>
          </w:p>
        </w:tc>
        <w:tc>
          <w:tcPr>
            <w:tcW w:w="8908" w:type="dxa"/>
            <w:tcBorders/>
            <w:shd w:fill="CCEEFF" w:val="clear"/>
          </w:tcPr>
          <w:p>
            <w:pPr>
              <w:pStyle w:val="TableContents"/>
              <w:bidi w:val="0"/>
              <w:spacing w:before="0" w:after="0"/>
              <w:ind w:left="0" w:right="0" w:hanging="0"/>
              <w:jc w:val="left"/>
              <w:rPr/>
            </w:pPr>
            <w:hyperlink w:anchor="ITEM_4">
              <w:r>
                <w:rPr>
                  <w:rStyle w:val="InternetLink"/>
                </w:rPr>
                <w:t>MINE SAFETY DISCLOSURES</w:t>
              </w:r>
            </w:hyperlink>
          </w:p>
        </w:tc>
        <w:tc>
          <w:tcPr>
            <w:tcW w:w="336" w:type="dxa"/>
            <w:tcBorders/>
            <w:shd w:fill="CCEEFF" w:val="clear"/>
          </w:tcPr>
          <w:p>
            <w:pPr>
              <w:pStyle w:val="TableContents"/>
              <w:bidi w:val="0"/>
              <w:spacing w:before="0" w:after="0"/>
              <w:ind w:left="0" w:right="0" w:hanging="0"/>
              <w:jc w:val="right"/>
              <w:rPr/>
            </w:pPr>
            <w:r>
              <w:rPr/>
              <w:t>57</w:t>
            </w:r>
          </w:p>
        </w:tc>
      </w:tr>
      <w:tr>
        <w:trPr/>
        <w:tc>
          <w:tcPr>
            <w:tcW w:w="961" w:type="dxa"/>
            <w:tcBorders/>
          </w:tcPr>
          <w:p>
            <w:pPr>
              <w:pStyle w:val="TableContents"/>
              <w:bidi w:val="0"/>
              <w:spacing w:before="0" w:after="0"/>
              <w:ind w:left="0" w:right="0" w:hanging="0"/>
              <w:jc w:val="left"/>
              <w:rPr/>
            </w:pPr>
            <w:r>
              <w:rPr/>
              <w:t>ITEM 5.</w:t>
            </w:r>
          </w:p>
        </w:tc>
        <w:tc>
          <w:tcPr>
            <w:tcW w:w="8908" w:type="dxa"/>
            <w:tcBorders/>
          </w:tcPr>
          <w:p>
            <w:pPr>
              <w:pStyle w:val="TableContents"/>
              <w:bidi w:val="0"/>
              <w:spacing w:before="0" w:after="0"/>
              <w:ind w:left="0" w:right="0" w:hanging="0"/>
              <w:jc w:val="left"/>
              <w:rPr/>
            </w:pPr>
            <w:hyperlink w:anchor="ITEM_5">
              <w:r>
                <w:rPr>
                  <w:rStyle w:val="InternetLink"/>
                </w:rPr>
                <w:t>OTHER INFORMATION</w:t>
              </w:r>
            </w:hyperlink>
          </w:p>
        </w:tc>
        <w:tc>
          <w:tcPr>
            <w:tcW w:w="336" w:type="dxa"/>
            <w:tcBorders/>
          </w:tcPr>
          <w:p>
            <w:pPr>
              <w:pStyle w:val="TableContents"/>
              <w:bidi w:val="0"/>
              <w:spacing w:before="0" w:after="0"/>
              <w:ind w:left="0" w:right="0" w:hanging="0"/>
              <w:jc w:val="right"/>
              <w:rPr/>
            </w:pPr>
            <w:r>
              <w:rPr/>
              <w:t>57</w:t>
            </w:r>
          </w:p>
        </w:tc>
      </w:tr>
      <w:tr>
        <w:trPr/>
        <w:tc>
          <w:tcPr>
            <w:tcW w:w="961" w:type="dxa"/>
            <w:tcBorders/>
            <w:shd w:fill="CCEEFF" w:val="clear"/>
          </w:tcPr>
          <w:p>
            <w:pPr>
              <w:pStyle w:val="TableContents"/>
              <w:bidi w:val="0"/>
              <w:spacing w:before="0" w:after="0"/>
              <w:ind w:left="0" w:right="0" w:hanging="0"/>
              <w:jc w:val="left"/>
              <w:rPr/>
            </w:pPr>
            <w:r>
              <w:rPr/>
              <w:t>ITEM 6.</w:t>
            </w:r>
          </w:p>
        </w:tc>
        <w:tc>
          <w:tcPr>
            <w:tcW w:w="8908" w:type="dxa"/>
            <w:tcBorders/>
            <w:shd w:fill="CCEEFF" w:val="clear"/>
          </w:tcPr>
          <w:p>
            <w:pPr>
              <w:pStyle w:val="TableContents"/>
              <w:bidi w:val="0"/>
              <w:spacing w:before="0" w:after="0"/>
              <w:ind w:left="0" w:right="0" w:hanging="0"/>
              <w:jc w:val="left"/>
              <w:rPr/>
            </w:pPr>
            <w:hyperlink w:anchor="ITEM_6">
              <w:r>
                <w:rPr>
                  <w:rStyle w:val="InternetLink"/>
                </w:rPr>
                <w:t>EXHIBITS</w:t>
              </w:r>
            </w:hyperlink>
          </w:p>
        </w:tc>
        <w:tc>
          <w:tcPr>
            <w:tcW w:w="336" w:type="dxa"/>
            <w:tcBorders/>
            <w:shd w:fill="CCEEFF" w:val="clear"/>
          </w:tcPr>
          <w:p>
            <w:pPr>
              <w:pStyle w:val="TableContents"/>
              <w:bidi w:val="0"/>
              <w:spacing w:before="0" w:after="0"/>
              <w:ind w:left="0" w:right="0" w:hanging="0"/>
              <w:jc w:val="right"/>
              <w:rPr/>
            </w:pPr>
            <w:r>
              <w:rPr/>
              <w:t>58</w:t>
            </w:r>
          </w:p>
        </w:tc>
      </w:tr>
      <w:tr>
        <w:trPr/>
        <w:tc>
          <w:tcPr>
            <w:tcW w:w="961" w:type="dxa"/>
            <w:tcBorders/>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 </w:t>
            </w:r>
          </w:p>
        </w:tc>
        <w:tc>
          <w:tcPr>
            <w:tcW w:w="336" w:type="dxa"/>
            <w:tcBorders/>
          </w:tcPr>
          <w:p>
            <w:pPr>
              <w:pStyle w:val="TableContents"/>
              <w:bidi w:val="0"/>
              <w:spacing w:before="0" w:after="283"/>
              <w:jc w:val="right"/>
              <w:rPr/>
            </w:pPr>
            <w:r>
              <w:rPr/>
              <w:t> </w:t>
            </w:r>
          </w:p>
        </w:tc>
      </w:tr>
      <w:tr>
        <w:trPr/>
        <w:tc>
          <w:tcPr>
            <w:tcW w:w="9869" w:type="dxa"/>
            <w:gridSpan w:val="2"/>
            <w:tcBorders/>
            <w:shd w:fill="CCEEFF" w:val="clear"/>
          </w:tcPr>
          <w:p>
            <w:pPr>
              <w:pStyle w:val="TableContents"/>
              <w:bidi w:val="0"/>
              <w:spacing w:before="0" w:after="0"/>
              <w:ind w:left="0" w:right="0" w:hanging="0"/>
              <w:jc w:val="left"/>
              <w:rPr/>
            </w:pPr>
            <w:hyperlink w:anchor="SIGNATURES">
              <w:r>
                <w:rPr>
                  <w:rStyle w:val="InternetLink"/>
                  <w:b/>
                </w:rPr>
                <w:t>SIGNATURES</w:t>
              </w:r>
            </w:hyperlink>
          </w:p>
        </w:tc>
        <w:tc>
          <w:tcPr>
            <w:tcW w:w="336" w:type="dxa"/>
            <w:tcBorders/>
            <w:shd w:fill="CCEEFF" w:val="clear"/>
          </w:tcPr>
          <w:p>
            <w:pPr>
              <w:pStyle w:val="TableContents"/>
              <w:bidi w:val="0"/>
              <w:spacing w:before="0" w:after="0"/>
              <w:jc w:val="right"/>
              <w:rPr/>
            </w:pPr>
            <w:r>
              <w:rPr/>
              <w:t>59</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GLOSSARY OF ABBREVIATIONS AND ACRONYMS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When references to “NBT”, “we,” “our,” “us,” and “the Company” are made in this report, we mean NBT Bancorp Inc. and our consolidated subsidiaries, unless the context indicates that we refer only to the parent company, NBT Bancorp Inc. When we refer to the “Bank” in this report, we mean our only bank subsidiary, NBT Bank, National Association, and its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The acronyms and abbreviations identified below are used throughout this report, including the Notes to Unaudited Interim Consolidated Financial Statements. You may find it helpful to refer to this page as you read this report.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8402" w:type="dxa"/>
        <w:jc w:val="left"/>
        <w:tblInd w:w="0" w:type="dxa"/>
        <w:tblLayout w:type="fixed"/>
        <w:tblCellMar>
          <w:top w:w="28" w:type="dxa"/>
          <w:left w:w="28" w:type="dxa"/>
          <w:bottom w:w="28" w:type="dxa"/>
          <w:right w:w="28" w:type="dxa"/>
        </w:tblCellMar>
      </w:tblPr>
      <w:tblGrid>
        <w:gridCol w:w="1336"/>
        <w:gridCol w:w="7066"/>
      </w:tblGrid>
      <w:tr>
        <w:trPr/>
        <w:tc>
          <w:tcPr>
            <w:tcW w:w="1336" w:type="dxa"/>
            <w:tcBorders/>
            <w:vAlign w:val="center"/>
          </w:tcPr>
          <w:p>
            <w:pPr>
              <w:pStyle w:val="TableContents"/>
              <w:bidi w:val="0"/>
              <w:spacing w:before="0" w:after="283"/>
              <w:jc w:val="left"/>
              <w:rPr/>
            </w:pPr>
            <w:r>
              <w:rPr/>
              <w:t> </w:t>
            </w:r>
          </w:p>
        </w:tc>
        <w:tc>
          <w:tcPr>
            <w:tcW w:w="7066" w:type="dxa"/>
            <w:tcBorders/>
            <w:vAlign w:val="center"/>
          </w:tcPr>
          <w:p>
            <w:pPr>
              <w:pStyle w:val="TableContents"/>
              <w:bidi w:val="0"/>
              <w:spacing w:before="0" w:after="283"/>
              <w:jc w:val="left"/>
              <w:rPr/>
            </w:pPr>
            <w:r>
              <w:rPr/>
              <w:t>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AFS</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available for sale</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AIR</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accrued interest receivable</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AOCI</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accumulated other comprehensive income (loss)</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ASC</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Accounting Standards Codification</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ASU</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Accounting Standards Update</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bp(s)</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basis point(s)</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C&amp;I</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commercial &amp; industrial</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CECL</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current expected credit losses</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CME</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Chicago Mercantile Exchange Clearing House</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CODM</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chief operating decision maker</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CRE</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commercial real estate</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EPS</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earnings per share</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Evans</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Evans Bancorp, Inc.</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Evans Bank</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Evans Bank, National Association</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FASB</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Financial Accounting Standards Board</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FDIC</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Federal Deposit Insurance Corporation</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FHLB</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Federal Home Loan Bank</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FOMC</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Federal Open Market Committee</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FRB</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Federal Reserve Board</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FTE</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fully taxable equivalent</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GAAP</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generally accepted accounting principles in the United States of America</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GDP</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Gross Domestic Product</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HTM</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held to maturity</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LGD</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loss given default</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MMDA</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money market deposit accounts</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NASDAQ</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The NASDAQ Stock Market LLC</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NIM</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net interest margin</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OCC</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Office of the Comptroller of the Currency</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OREO</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other real estate owned</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PCD</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purchased credit deteriorated</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PD</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probability of default</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SEC</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U.S. Securities and Exchange Commission</w:t>
            </w:r>
            <w:r>
              <w:rPr/>
              <w:t xml:space="preserve"> </w:t>
            </w:r>
          </w:p>
        </w:tc>
      </w:tr>
      <w:tr>
        <w:trPr/>
        <w:tc>
          <w:tcPr>
            <w:tcW w:w="1336" w:type="dxa"/>
            <w:tcBorders/>
            <w:tcMar>
              <w:top w:w="0" w:type="dxa"/>
              <w:left w:w="0" w:type="dxa"/>
              <w:bottom w:w="0" w:type="dxa"/>
              <w:right w:w="0" w:type="dxa"/>
            </w:tcMar>
            <w:vAlign w:val="center"/>
          </w:tcPr>
          <w:p>
            <w:pPr>
              <w:pStyle w:val="TableContents"/>
              <w:bidi w:val="0"/>
              <w:spacing w:before="0" w:after="0"/>
              <w:jc w:val="left"/>
              <w:rPr/>
            </w:pPr>
            <w:r>
              <w:rPr>
                <w:color w:val="000000"/>
              </w:rPr>
              <w:t>SOFR</w:t>
            </w:r>
            <w:r>
              <w:rPr/>
              <w:t xml:space="preserve"> </w:t>
            </w:r>
          </w:p>
        </w:tc>
        <w:tc>
          <w:tcPr>
            <w:tcW w:w="7066" w:type="dxa"/>
            <w:tcBorders/>
            <w:tcMar>
              <w:top w:w="0" w:type="dxa"/>
              <w:left w:w="0" w:type="dxa"/>
              <w:bottom w:w="0" w:type="dxa"/>
              <w:right w:w="0" w:type="dxa"/>
            </w:tcMar>
            <w:vAlign w:val="center"/>
          </w:tcPr>
          <w:p>
            <w:pPr>
              <w:pStyle w:val="TableContents"/>
              <w:bidi w:val="0"/>
              <w:spacing w:before="0" w:after="0"/>
              <w:jc w:val="left"/>
              <w:rPr/>
            </w:pPr>
            <w:r>
              <w:rPr>
                <w:color w:val="000000"/>
              </w:rPr>
              <w:t>Secured Overnight Financing Rate</w:t>
            </w:r>
            <w:r>
              <w:rPr/>
              <w:t xml:space="preserve">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900"/>
        <w:jc w:val="left"/>
        <w:rPr>
          <w:rFonts w:ascii="TimesNewRoman;Times New Roman;Times;Baskerville;Georgia;serif" w:hAnsi="TimesNewRoman;Times New Roman;Times;Baskerville;Georgia;serif"/>
          <w:sz w:val="20"/>
        </w:rPr>
      </w:pPr>
      <w:bookmarkStart w:id="5" w:name="FINANCIAL_STATEMENTS"/>
      <w:bookmarkEnd w:id="5"/>
      <w:r>
        <w:rPr>
          <w:rFonts w:ascii="TimesNewRoman;Times New Roman;Times;Baskerville;Georgia;serif" w:hAnsi="TimesNewRoman;Times New Roman;Times;Baskerville;Georgia;serif"/>
          <w:b/>
          <w:sz w:val="20"/>
        </w:rPr>
        <w:t>FINANCIAL STATEMENTS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571500" cy="146685"/>
                <wp:effectExtent l="0" t="0" r="0" b="0"/>
                <wp:wrapSquare wrapText="right"/>
                <wp:docPr id="3" name="Frame3"/>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1.</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1.</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bookmarkStart w:id="6" w:name="Balance_Sheets"/>
      <w:bookmarkEnd w:id="6"/>
      <w:r>
        <w:rPr>
          <w:rFonts w:ascii="TimesNewRoman;Times New Roman;Times;Baskerville;Georgia;serif" w:hAnsi="TimesNewRoman;Times New Roman;Times;Baskerville;Georgia;serif"/>
          <w:b/>
          <w:color w:val="000000"/>
          <w:sz w:val="20"/>
        </w:rPr>
        <w:t>Consolidated Balance Sheets (unaudited)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856"/>
        <w:gridCol w:w="90"/>
        <w:gridCol w:w="170"/>
        <w:gridCol w:w="1130"/>
        <w:gridCol w:w="185"/>
        <w:gridCol w:w="90"/>
        <w:gridCol w:w="189"/>
        <w:gridCol w:w="1263"/>
        <w:gridCol w:w="232"/>
      </w:tblGrid>
      <w:tr>
        <w:trPr/>
        <w:tc>
          <w:tcPr>
            <w:tcW w:w="68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w:t>
            </w:r>
            <w:r>
              <w:rPr/>
              <w:t xml:space="preserve"> </w:t>
            </w:r>
          </w:p>
        </w:tc>
        <w:tc>
          <w:tcPr>
            <w:tcW w:w="232"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6856"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 except share and per share data)</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2"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6856" w:type="dxa"/>
            <w:tcBorders/>
            <w:vAlign w:val="center"/>
          </w:tcPr>
          <w:p>
            <w:pPr>
              <w:pStyle w:val="TableContents"/>
              <w:bidi w:val="0"/>
              <w:spacing w:before="0" w:after="0"/>
              <w:ind w:left="0" w:right="0" w:hanging="144"/>
              <w:jc w:val="left"/>
              <w:rPr/>
            </w:pPr>
            <w:r>
              <w:rPr>
                <w:b/>
                <w:i/>
              </w:rPr>
              <w:t>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Cash and due from banks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187,164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185,158</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Short-term interest-bearing accounts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107,489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301,958</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Equity securities, at fair value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50,732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48,760</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Securities available for sale, at fair value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2,006,206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1,862,838</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Securities held to maturity (fair value $692,689 and $702,577, respectively)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755,086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762,756</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Federal Reserve and Federal Home Loan Bank stock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51,540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44,575</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Loans held for sale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1,108</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Loans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11,874,081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11,598,114</w:t>
            </w:r>
          </w:p>
        </w:tc>
        <w:tc>
          <w:tcPr>
            <w:tcW w:w="232" w:type="dxa"/>
            <w:tcBorders/>
            <w:vAlign w:val="center"/>
          </w:tcPr>
          <w:p>
            <w:pPr>
              <w:pStyle w:val="TableContents"/>
              <w:bidi w:val="0"/>
              <w:spacing w:before="0" w:after="283"/>
              <w:jc w:val="left"/>
              <w:rPr/>
            </w:pPr>
            <w:r>
              <w:rPr/>
              <w:t> </w:t>
            </w:r>
          </w:p>
        </w:tc>
      </w:tr>
      <w:tr>
        <w:trPr/>
        <w:tc>
          <w:tcPr>
            <w:tcW w:w="6856"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Less allowance for loan losses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140,500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138,000</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jc w:val="left"/>
              <w:rPr/>
            </w:pPr>
            <w:r>
              <w:rPr/>
              <w:t xml:space="preserve">Net loans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11,733,581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263" w:type="dxa"/>
            <w:tcBorders/>
            <w:vAlign w:val="center"/>
          </w:tcPr>
          <w:p>
            <w:pPr>
              <w:pStyle w:val="TableContents"/>
              <w:bidi w:val="0"/>
              <w:spacing w:before="0" w:after="283"/>
              <w:jc w:val="right"/>
              <w:rPr/>
            </w:pPr>
            <w:r>
              <w:rPr/>
              <w:t>11,460,114</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Premises and equipment,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98,119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99,277</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Goodwill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453,278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453,278</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Intangible assets,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51,117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57,656</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Bank owned life insurance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314,806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317,733</w:t>
            </w:r>
          </w:p>
        </w:tc>
        <w:tc>
          <w:tcPr>
            <w:tcW w:w="232" w:type="dxa"/>
            <w:tcBorders/>
            <w:vAlign w:val="center"/>
          </w:tcPr>
          <w:p>
            <w:pPr>
              <w:pStyle w:val="TableContents"/>
              <w:bidi w:val="0"/>
              <w:spacing w:before="0" w:after="283"/>
              <w:jc w:val="left"/>
              <w:rPr/>
            </w:pPr>
            <w:r>
              <w:rPr/>
              <w:t> </w:t>
            </w:r>
          </w:p>
        </w:tc>
      </w:tr>
      <w:tr>
        <w:trPr/>
        <w:tc>
          <w:tcPr>
            <w:tcW w:w="6856"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assets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405,839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399,910</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856" w:type="dxa"/>
            <w:tcBorders>
              <w:bottom w:val="single" w:sz="12" w:space="0" w:color="000000"/>
            </w:tcBorders>
            <w:tcMar>
              <w:bottom w:w="28" w:type="dxa"/>
            </w:tcMar>
            <w:vAlign w:val="center"/>
          </w:tcPr>
          <w:p>
            <w:pPr>
              <w:pStyle w:val="TableContents"/>
              <w:bidi w:val="0"/>
              <w:spacing w:before="0" w:after="0"/>
              <w:jc w:val="left"/>
              <w:rPr/>
            </w:pPr>
            <w:r>
              <w:rPr/>
              <w:t xml:space="preserve">Total assets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16,214,957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15,995,121</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b/>
                <w:i/>
              </w:rPr>
              <w:t>Liabilities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Demand (noninterest bearing)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3,861,366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263" w:type="dxa"/>
            <w:tcBorders/>
            <w:vAlign w:val="center"/>
          </w:tcPr>
          <w:p>
            <w:pPr>
              <w:pStyle w:val="TableContents"/>
              <w:bidi w:val="0"/>
              <w:spacing w:before="0" w:after="283"/>
              <w:jc w:val="right"/>
              <w:rPr/>
            </w:pPr>
            <w:r>
              <w:rPr/>
              <w:t>3,800,209</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Savings, interest-bearing checking and money market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8,347,052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8,206,539</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Time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1,328,884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1,492,445</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jc w:val="left"/>
              <w:rPr/>
            </w:pPr>
            <w:r>
              <w:rPr/>
              <w:t xml:space="preserve">Total deposits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13,537,302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13,499,193</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Short-term borrowings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316,438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148,069</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Long-term debt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43,043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43,176</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Subordinated debt, net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24,509</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Junior subordinated debt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111,714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111,668</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liabilities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262,541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272,290</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856"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liabilities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14,271,038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14,098,905</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b/>
                <w:i/>
              </w:rPr>
              <w:t>Stockholders’ equity</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Preferred stock, $0.01 par value, 2,500,000 shares authorized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 xml:space="preserve">- </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Common stock, $0.01 par value, 100,000,000 shares authorized; 59,083,155 shares issued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591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591</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Additional paid-in-capital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966,124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964,778</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ind w:left="0" w:right="0" w:hanging="144"/>
              <w:jc w:val="left"/>
              <w:rPr/>
            </w:pPr>
            <w:r>
              <w:rPr/>
              <w:t xml:space="preserve">Retained earnings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1,262,559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1,196,850</w:t>
            </w:r>
          </w:p>
        </w:tc>
        <w:tc>
          <w:tcPr>
            <w:tcW w:w="23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ind w:left="0" w:right="0" w:hanging="144"/>
              <w:jc w:val="left"/>
              <w:rPr/>
            </w:pPr>
            <w:r>
              <w:rPr/>
              <w:t xml:space="preserve">Accumulated other comprehensive loss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(89,132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(82,596</w:t>
            </w:r>
          </w:p>
        </w:tc>
        <w:tc>
          <w:tcPr>
            <w:tcW w:w="232" w:type="dxa"/>
            <w:tcBorders/>
            <w:shd w:fill="CCEEFF" w:val="clear"/>
            <w:vAlign w:val="center"/>
          </w:tcPr>
          <w:p>
            <w:pPr>
              <w:pStyle w:val="TableContents"/>
              <w:bidi w:val="0"/>
              <w:spacing w:before="0" w:after="283"/>
              <w:jc w:val="left"/>
              <w:rPr/>
            </w:pPr>
            <w:r>
              <w:rPr/>
              <w:t>) </w:t>
            </w:r>
          </w:p>
        </w:tc>
      </w:tr>
      <w:tr>
        <w:trPr/>
        <w:tc>
          <w:tcPr>
            <w:tcW w:w="6856"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Common stock in treasury, at cost, 7,128,171 and 6,880,200 shares, respectively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(196,223</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(183,407</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856"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stockholders’ equity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1,943,919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1,896,216</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856" w:type="dxa"/>
            <w:tcBorders>
              <w:bottom w:val="single" w:sz="12" w:space="0" w:color="000000"/>
            </w:tcBorders>
            <w:tcMar>
              <w:bottom w:w="28" w:type="dxa"/>
            </w:tcMar>
            <w:vAlign w:val="center"/>
          </w:tcPr>
          <w:p>
            <w:pPr>
              <w:pStyle w:val="TableContents"/>
              <w:bidi w:val="0"/>
              <w:spacing w:before="0" w:after="0"/>
              <w:jc w:val="left"/>
              <w:rPr/>
            </w:pPr>
            <w:r>
              <w:rPr/>
              <w:t xml:space="preserve">Total liabilities and stockholders’ equity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16,214,957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15,995,121</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See accompanying notes to unaudited interim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bookmarkStart w:id="7" w:name="Statements_of_Income"/>
      <w:bookmarkEnd w:id="7"/>
      <w:r>
        <w:rPr>
          <w:rFonts w:ascii="TimesNewRoman;Times New Roman;Times;Baskerville;Georgia;serif" w:hAnsi="TimesNewRoman;Times New Roman;Times;Baskerville;Georgia;serif"/>
          <w:b/>
          <w:color w:val="000000"/>
          <w:sz w:val="20"/>
        </w:rPr>
        <w:t>Consolidated Statements of Income (unaudited)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9733" w:type="dxa"/>
        <w:jc w:val="left"/>
        <w:tblInd w:w="0" w:type="dxa"/>
        <w:tblLayout w:type="fixed"/>
        <w:tblCellMar>
          <w:top w:w="0" w:type="dxa"/>
          <w:left w:w="0" w:type="dxa"/>
          <w:bottom w:w="0" w:type="dxa"/>
          <w:right w:w="0" w:type="dxa"/>
        </w:tblCellMar>
      </w:tblPr>
      <w:tblGrid>
        <w:gridCol w:w="4790"/>
        <w:gridCol w:w="90"/>
        <w:gridCol w:w="184"/>
        <w:gridCol w:w="898"/>
        <w:gridCol w:w="97"/>
        <w:gridCol w:w="97"/>
        <w:gridCol w:w="184"/>
        <w:gridCol w:w="898"/>
        <w:gridCol w:w="90"/>
        <w:gridCol w:w="90"/>
        <w:gridCol w:w="170"/>
        <w:gridCol w:w="830"/>
        <w:gridCol w:w="90"/>
        <w:gridCol w:w="90"/>
        <w:gridCol w:w="170"/>
        <w:gridCol w:w="830"/>
        <w:gridCol w:w="135"/>
      </w:tblGrid>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58" w:type="dxa"/>
            <w:gridSpan w:val="6"/>
            <w:tcBorders/>
            <w:vAlign w:val="center"/>
          </w:tcPr>
          <w:p>
            <w:pPr>
              <w:pStyle w:val="TableContents"/>
              <w:bidi w:val="0"/>
              <w:spacing w:before="0" w:after="283"/>
              <w:jc w:val="center"/>
              <w:rPr/>
            </w:pPr>
            <w:r>
              <w:rPr>
                <w:b/>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80" w:type="dxa"/>
            <w:gridSpan w:val="6"/>
            <w:tcBorders/>
            <w:vAlign w:val="center"/>
          </w:tcPr>
          <w:p>
            <w:pPr>
              <w:pStyle w:val="TableContents"/>
              <w:bidi w:val="0"/>
              <w:spacing w:before="0" w:after="283"/>
              <w:jc w:val="center"/>
              <w:rPr/>
            </w:pPr>
            <w:r>
              <w:rPr>
                <w:b/>
              </w:rPr>
              <w:t>Six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4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58" w:type="dxa"/>
            <w:gridSpan w:val="6"/>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pPr>
            <w:r>
              <w:rPr/>
              <w:t> </w:t>
            </w:r>
            <w:r>
              <w:rPr>
                <w:b/>
                <w:spacing w:val="0"/>
              </w:rPr>
              <w:t>June 30,</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79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 except per share data)</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2"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7"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7"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2"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790" w:type="dxa"/>
            <w:tcBorders/>
            <w:vAlign w:val="center"/>
          </w:tcPr>
          <w:p>
            <w:pPr>
              <w:pStyle w:val="TableContents"/>
              <w:bidi w:val="0"/>
              <w:spacing w:before="0" w:after="0"/>
              <w:ind w:left="0" w:right="0" w:hanging="144"/>
              <w:jc w:val="left"/>
              <w:rPr/>
            </w:pPr>
            <w:r>
              <w:rPr>
                <w:b/>
                <w:i/>
              </w:rPr>
              <w:t>Interest, fee and dividend income</w:t>
            </w:r>
            <w:r>
              <w:rPr/>
              <w:t xml:space="preserv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Interest and fees on loans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898" w:type="dxa"/>
            <w:tcBorders/>
            <w:shd w:fill="CCEEFF" w:val="clear"/>
            <w:vAlign w:val="center"/>
          </w:tcPr>
          <w:p>
            <w:pPr>
              <w:pStyle w:val="TableContents"/>
              <w:bidi w:val="0"/>
              <w:spacing w:before="0" w:after="283"/>
              <w:jc w:val="right"/>
              <w:rPr>
                <w:b/>
              </w:rPr>
            </w:pPr>
            <w:r>
              <w:rPr>
                <w:b/>
              </w:rPr>
              <w:t>163,764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158,912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324,866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296,964</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Securities available for sale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14,770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11,609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28,252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21,871</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Securities held to maturity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4,426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8,776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9,784</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b/>
              </w:rPr>
            </w:pPr>
            <w:r>
              <w:rPr>
                <w:b/>
              </w:rPr>
              <w:t>2,801</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2,186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6,513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3,362</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79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interest, fee and dividend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185,761</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177,577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368,407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331,981</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b/>
                <w:i/>
              </w:rPr>
              <w:t>Interest expense</w:t>
            </w:r>
            <w:r>
              <w:rPr/>
              <w:t xml:space="preserv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Deposits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898" w:type="dxa"/>
            <w:tcBorders/>
            <w:shd w:fill="CCEEFF" w:val="clear"/>
            <w:vAlign w:val="center"/>
          </w:tcPr>
          <w:p>
            <w:pPr>
              <w:pStyle w:val="TableContents"/>
              <w:bidi w:val="0"/>
              <w:spacing w:before="0" w:after="283"/>
              <w:jc w:val="right"/>
              <w:rPr>
                <w:b/>
              </w:rPr>
            </w:pPr>
            <w:r>
              <w:rPr>
                <w:b/>
              </w:rPr>
              <w:t>44,879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48,219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89,714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90,807</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Short-term borrowings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1,165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1,046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1,912</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Long-term debt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445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562</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Subordinated debt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611</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1,121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3,823</w:t>
            </w:r>
          </w:p>
        </w:tc>
        <w:tc>
          <w:tcPr>
            <w:tcW w:w="135" w:type="dxa"/>
            <w:tcBorders/>
            <w:vAlign w:val="center"/>
          </w:tcPr>
          <w:p>
            <w:pPr>
              <w:pStyle w:val="TableContents"/>
              <w:bidi w:val="0"/>
              <w:spacing w:before="0" w:after="283"/>
              <w:jc w:val="left"/>
              <w:rPr/>
            </w:pPr>
            <w:r>
              <w:rPr/>
              <w:t> </w:t>
            </w:r>
          </w:p>
        </w:tc>
      </w:tr>
      <w:tr>
        <w:trPr/>
        <w:tc>
          <w:tcPr>
            <w:tcW w:w="479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Junior subordinated debt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1,698</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1,795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3,388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3,434</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bottom w:val="single" w:sz="12" w:space="0" w:color="000000"/>
            </w:tcBorders>
            <w:tcMar>
              <w:bottom w:w="28" w:type="dxa"/>
            </w:tcMar>
            <w:vAlign w:val="center"/>
          </w:tcPr>
          <w:p>
            <w:pPr>
              <w:pStyle w:val="TableContents"/>
              <w:bidi w:val="0"/>
              <w:spacing w:before="0" w:after="0"/>
              <w:jc w:val="left"/>
              <w:rPr/>
            </w:pPr>
            <w:r>
              <w:rPr/>
              <w:t xml:space="preserve">Total interest expense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98" w:type="dxa"/>
            <w:tcBorders>
              <w:bottom w:val="single" w:sz="12" w:space="0" w:color="000000"/>
            </w:tcBorders>
            <w:tcMar>
              <w:bottom w:w="28" w:type="dxa"/>
            </w:tcMar>
            <w:vAlign w:val="center"/>
          </w:tcPr>
          <w:p>
            <w:pPr>
              <w:pStyle w:val="TableContents"/>
              <w:bidi w:val="0"/>
              <w:spacing w:before="0" w:after="283"/>
              <w:jc w:val="right"/>
              <w:rPr>
                <w:b/>
              </w:rPr>
            </w:pPr>
            <w:r>
              <w:rPr>
                <w:b/>
              </w:rPr>
              <w:t>48,798</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53,357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97,096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100,538</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Net interest income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898" w:type="dxa"/>
            <w:tcBorders/>
            <w:shd w:fill="CCEEFF" w:val="clear"/>
            <w:vAlign w:val="center"/>
          </w:tcPr>
          <w:p>
            <w:pPr>
              <w:pStyle w:val="TableContents"/>
              <w:bidi w:val="0"/>
              <w:spacing w:before="0" w:after="283"/>
              <w:jc w:val="right"/>
              <w:rPr>
                <w:b/>
              </w:rPr>
            </w:pPr>
            <w:r>
              <w:rPr>
                <w:b/>
              </w:rPr>
              <w:t>136,963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124,220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271,311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231,443</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Provision for loan losses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b/>
              </w:rPr>
            </w:pPr>
            <w:r>
              <w:rPr>
                <w:b/>
              </w:rPr>
              <w:t>6,136</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17,835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11,713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25,389</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79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Net interest income after provision for loan losses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130,827</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106,385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259,598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206,054</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b/>
                <w:i/>
              </w:rPr>
              <w:t>Noninterest income</w:t>
            </w:r>
            <w:r>
              <w:rPr/>
              <w:t xml:space="preserv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Service charges on deposit accounts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898" w:type="dxa"/>
            <w:tcBorders/>
            <w:shd w:fill="CCEEFF" w:val="clear"/>
            <w:vAlign w:val="center"/>
          </w:tcPr>
          <w:p>
            <w:pPr>
              <w:pStyle w:val="TableContents"/>
              <w:bidi w:val="0"/>
              <w:spacing w:before="0" w:after="283"/>
              <w:jc w:val="right"/>
              <w:rPr>
                <w:b/>
              </w:rPr>
            </w:pPr>
            <w:r>
              <w:rPr>
                <w:b/>
              </w:rPr>
              <w:t>5,194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4,578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10,462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8,821</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Card services income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6,613</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6,077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12,641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11,394</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Retirement plan administration fees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16,928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15,710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33,494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31,568</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Wealth management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10,948</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10,678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22,082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21,624</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Insurance services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4,177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4,097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8,659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8,858</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Bank owned life insurance income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2,505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5,164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5,577</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Net securities gains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175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b/>
              </w:rPr>
            </w:pPr>
            <w:r>
              <w:rPr>
                <w:b/>
              </w:rPr>
              <w:t>3,187</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3,500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6,744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6,534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79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noninterest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49,727</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46,932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99,863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94,384</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b/>
                <w:i/>
              </w:rPr>
              <w:t>Noninterest expense</w:t>
            </w:r>
            <w:r>
              <w:rPr/>
              <w:t xml:space="preserv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Salaries and employee benefits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898" w:type="dxa"/>
            <w:tcBorders/>
            <w:shd w:fill="CCEEFF" w:val="clear"/>
            <w:vAlign w:val="center"/>
          </w:tcPr>
          <w:p>
            <w:pPr>
              <w:pStyle w:val="TableContents"/>
              <w:bidi w:val="0"/>
              <w:spacing w:before="0" w:after="283"/>
              <w:jc w:val="right"/>
              <w:rPr>
                <w:b/>
              </w:rPr>
            </w:pPr>
            <w:r>
              <w:rPr>
                <w:b/>
              </w:rPr>
              <w:t>69,004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64,155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137,763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124,849</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Technology and data services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11,850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10,804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23,360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21,042</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Occupancy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9,475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9,038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20,485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18,065</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Professional fees and outside services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5,662</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5,021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11,216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9,973</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Office supplies and postage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2,060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1,871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4,227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3,813</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FDIC assessment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1,984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1,820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3,994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3,514</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Marketing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937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2,112</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Amortization of intangible assets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3,191</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3,042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6,539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5,153</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Loan collection and other real estate owned, net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rPr>
            </w:pPr>
            <w:r>
              <w:rPr>
                <w:b/>
              </w:rPr>
              <w:t>544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1,148</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Acquisition expenses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b/>
              </w:rPr>
            </w:pPr>
            <w:r>
              <w:rPr>
                <w:b/>
              </w:rPr>
              <w:t xml:space="preserve">-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17,180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18,401</w:t>
            </w:r>
          </w:p>
        </w:tc>
        <w:tc>
          <w:tcPr>
            <w:tcW w:w="135" w:type="dxa"/>
            <w:tcBorders/>
            <w:vAlign w:val="center"/>
          </w:tcPr>
          <w:p>
            <w:pPr>
              <w:pStyle w:val="TableContents"/>
              <w:bidi w:val="0"/>
              <w:spacing w:before="0" w:after="283"/>
              <w:jc w:val="left"/>
              <w:rPr/>
            </w:pPr>
            <w:r>
              <w:rPr/>
              <w:t> </w:t>
            </w:r>
          </w:p>
        </w:tc>
      </w:tr>
      <w:tr>
        <w:trPr/>
        <w:tc>
          <w:tcPr>
            <w:tcW w:w="479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6,731</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8,216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13,077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14,440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bottom w:val="single" w:sz="12" w:space="0" w:color="000000"/>
            </w:tcBorders>
            <w:tcMar>
              <w:bottom w:w="28" w:type="dxa"/>
            </w:tcMar>
            <w:vAlign w:val="center"/>
          </w:tcPr>
          <w:p>
            <w:pPr>
              <w:pStyle w:val="TableContents"/>
              <w:bidi w:val="0"/>
              <w:spacing w:before="0" w:after="0"/>
              <w:jc w:val="left"/>
              <w:rPr/>
            </w:pPr>
            <w:r>
              <w:rPr/>
              <w:t xml:space="preserve">Total noninterest expense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98" w:type="dxa"/>
            <w:tcBorders>
              <w:bottom w:val="single" w:sz="12" w:space="0" w:color="000000"/>
            </w:tcBorders>
            <w:tcMar>
              <w:bottom w:w="28" w:type="dxa"/>
            </w:tcMar>
            <w:vAlign w:val="center"/>
          </w:tcPr>
          <w:p>
            <w:pPr>
              <w:pStyle w:val="TableContents"/>
              <w:bidi w:val="0"/>
              <w:spacing w:before="0" w:after="283"/>
              <w:jc w:val="right"/>
              <w:rPr>
                <w:b/>
              </w:rPr>
            </w:pPr>
            <w:r>
              <w:rPr>
                <w:b/>
              </w:rPr>
              <w:t>111,438</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122,610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223,670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222,510</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pPr>
            <w:r>
              <w:rPr/>
              <w:t xml:space="preserve">Income before income tax expense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898" w:type="dxa"/>
            <w:tcBorders/>
            <w:shd w:fill="CCEEFF" w:val="clear"/>
            <w:vAlign w:val="center"/>
          </w:tcPr>
          <w:p>
            <w:pPr>
              <w:pStyle w:val="TableContents"/>
              <w:bidi w:val="0"/>
              <w:spacing w:before="0" w:after="283"/>
              <w:jc w:val="right"/>
              <w:rPr>
                <w:b/>
              </w:rPr>
            </w:pPr>
            <w:r>
              <w:rPr>
                <w:b/>
              </w:rPr>
              <w:t>69,116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30,707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135,791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77,928</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Income tax expense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b/>
              </w:rPr>
            </w:pPr>
            <w:r>
              <w:rPr>
                <w:b/>
              </w:rPr>
              <w:t>16,086</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283"/>
              <w:jc w:val="right"/>
              <w:rPr/>
            </w:pPr>
            <w:r>
              <w:rPr/>
              <w:t>8,197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31,619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18,673</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790" w:type="dxa"/>
            <w:tcBorders>
              <w:bottom w:val="single" w:sz="12" w:space="0" w:color="000000"/>
            </w:tcBorders>
            <w:shd w:fill="CCEEFF" w:val="clear"/>
            <w:tcMar>
              <w:bottom w:w="28" w:type="dxa"/>
            </w:tcMar>
            <w:vAlign w:val="center"/>
          </w:tcPr>
          <w:p>
            <w:pPr>
              <w:pStyle w:val="TableContents"/>
              <w:bidi w:val="0"/>
              <w:spacing w:before="0" w:after="0"/>
              <w:jc w:val="left"/>
              <w:rPr/>
            </w:pPr>
            <w:r>
              <w:rPr>
                <w:b/>
              </w:rPr>
              <w:t>Net income</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53,030</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22,510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104,172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59,255</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b/>
                <w:i/>
              </w:rPr>
              <w:t>Earnings per share</w:t>
            </w:r>
            <w:r>
              <w:rPr/>
              <w:t xml:space="preserve">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144"/>
              <w:jc w:val="left"/>
              <w:rPr>
                <w:sz w:val="20"/>
              </w:rPr>
            </w:pPr>
            <w:r>
              <w:rPr>
                <w:sz w:val="20"/>
              </w:rPr>
              <w:t xml:space="preserve">Basic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898" w:type="dxa"/>
            <w:tcBorders/>
            <w:shd w:fill="CCEEFF" w:val="clear"/>
            <w:vAlign w:val="center"/>
          </w:tcPr>
          <w:p>
            <w:pPr>
              <w:pStyle w:val="TableContents"/>
              <w:bidi w:val="0"/>
              <w:spacing w:before="0" w:after="283"/>
              <w:jc w:val="right"/>
              <w:rPr>
                <w:b/>
              </w:rPr>
            </w:pPr>
            <w:r>
              <w:rPr>
                <w:b/>
              </w:rPr>
              <w:t>1.02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1.21</w:t>
            </w:r>
          </w:p>
        </w:tc>
        <w:tc>
          <w:tcPr>
            <w:tcW w:w="135"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ind w:left="0" w:right="0" w:hanging="144"/>
              <w:jc w:val="left"/>
              <w:rPr/>
            </w:pPr>
            <w:r>
              <w:rPr/>
              <w:t xml:space="preserve">Diluted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b/>
              </w:rPr>
            </w:pPr>
            <w:r>
              <w:rPr>
                <w:b/>
              </w:rPr>
              <w:t>$</w:t>
            </w:r>
          </w:p>
        </w:tc>
        <w:tc>
          <w:tcPr>
            <w:tcW w:w="898" w:type="dxa"/>
            <w:tcBorders/>
            <w:vAlign w:val="center"/>
          </w:tcPr>
          <w:p>
            <w:pPr>
              <w:pStyle w:val="TableContents"/>
              <w:bidi w:val="0"/>
              <w:spacing w:before="0" w:after="283"/>
              <w:jc w:val="right"/>
              <w:rPr>
                <w:b/>
              </w:rPr>
            </w:pPr>
            <w:r>
              <w:rPr>
                <w:b/>
              </w:rPr>
              <w:t>1.02</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right"/>
              <w:rPr/>
            </w:pPr>
            <w:r>
              <w:rPr/>
              <w:t>0.44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1.99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1.21</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See accompanying notes to unaudited interim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rFonts w:ascii="TimesNewRoman;Times New Roman;Times;Baskerville;Georgia;serif" w:hAnsi="TimesNewRoman;Times New Roman;Times;Baskerville;Georgia;serif"/>
          <w:sz w:val="20"/>
        </w:rPr>
      </w:pPr>
      <w:bookmarkStart w:id="8" w:name="Comprehensive_Income"/>
      <w:bookmarkEnd w:id="8"/>
      <w:r>
        <w:rPr>
          <w:rFonts w:ascii="TimesNewRoman;Times New Roman;Times;Baskerville;Georgia;serif" w:hAnsi="TimesNewRoman;Times New Roman;Times;Baskerville;Georgia;serif"/>
          <w:b/>
          <w:color w:val="000000"/>
          <w:sz w:val="20"/>
        </w:rPr>
        <w:t>Consolidated Statements of Comprehensive Income (Loss) (unaudited)</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5241"/>
        <w:gridCol w:w="90"/>
        <w:gridCol w:w="178"/>
        <w:gridCol w:w="746"/>
        <w:gridCol w:w="194"/>
        <w:gridCol w:w="94"/>
        <w:gridCol w:w="178"/>
        <w:gridCol w:w="746"/>
        <w:gridCol w:w="185"/>
        <w:gridCol w:w="90"/>
        <w:gridCol w:w="170"/>
        <w:gridCol w:w="830"/>
        <w:gridCol w:w="185"/>
        <w:gridCol w:w="90"/>
        <w:gridCol w:w="170"/>
        <w:gridCol w:w="785"/>
        <w:gridCol w:w="233"/>
      </w:tblGrid>
      <w:tr>
        <w:trPr/>
        <w:tc>
          <w:tcPr>
            <w:tcW w:w="5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136" w:type="dxa"/>
            <w:gridSpan w:val="6"/>
            <w:tcBorders/>
            <w:vAlign w:val="center"/>
          </w:tcPr>
          <w:p>
            <w:pPr>
              <w:pStyle w:val="TableContents"/>
              <w:bidi w:val="0"/>
              <w:spacing w:before="0" w:after="283"/>
              <w:jc w:val="center"/>
              <w:rPr/>
            </w:pPr>
            <w:r>
              <w:rPr>
                <w:b/>
              </w:rPr>
              <w:t>Three Months Ended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30" w:type="dxa"/>
            <w:gridSpan w:val="6"/>
            <w:tcBorders/>
            <w:vAlign w:val="center"/>
          </w:tcPr>
          <w:p>
            <w:pPr>
              <w:pStyle w:val="TableContents"/>
              <w:bidi w:val="0"/>
              <w:spacing w:before="0" w:after="283"/>
              <w:jc w:val="center"/>
              <w:rPr/>
            </w:pPr>
            <w:r>
              <w:rPr>
                <w:b/>
                <w:spacing w:val="0"/>
              </w:rPr>
              <w:t>Six Months Ended</w:t>
            </w:r>
            <w:r>
              <w:rPr/>
              <w:t xml:space="preserve">  </w:t>
            </w:r>
          </w:p>
        </w:tc>
        <w:tc>
          <w:tcPr>
            <w:tcW w:w="233" w:type="dxa"/>
            <w:tcBorders/>
            <w:vAlign w:val="center"/>
          </w:tcPr>
          <w:p>
            <w:pPr>
              <w:pStyle w:val="TableContents"/>
              <w:bidi w:val="0"/>
              <w:spacing w:before="0" w:after="283"/>
              <w:jc w:val="center"/>
              <w:rPr/>
            </w:pPr>
            <w:r>
              <w:rPr/>
              <w:t> </w:t>
            </w:r>
          </w:p>
        </w:tc>
      </w:tr>
      <w:tr>
        <w:trPr/>
        <w:tc>
          <w:tcPr>
            <w:tcW w:w="5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136" w:type="dxa"/>
            <w:gridSpan w:val="6"/>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230" w:type="dxa"/>
            <w:gridSpan w:val="6"/>
            <w:tcBorders>
              <w:bottom w:val="single" w:sz="12" w:space="0" w:color="000000"/>
            </w:tcBorders>
            <w:tcMar>
              <w:bottom w:w="28" w:type="dxa"/>
            </w:tcMar>
            <w:vAlign w:val="center"/>
          </w:tcPr>
          <w:p>
            <w:pPr>
              <w:pStyle w:val="TableContents"/>
              <w:bidi w:val="0"/>
              <w:spacing w:before="0" w:after="283"/>
              <w:jc w:val="center"/>
              <w:rPr/>
            </w:pPr>
            <w:r>
              <w:rPr/>
              <w:t> </w:t>
            </w:r>
            <w:r>
              <w:rPr>
                <w:b/>
                <w:spacing w:val="0"/>
              </w:rPr>
              <w:t>June 30,</w:t>
            </w:r>
            <w:r>
              <w:rPr/>
              <w:t xml:space="preserve">  </w:t>
            </w:r>
          </w:p>
        </w:tc>
        <w:tc>
          <w:tcPr>
            <w:tcW w:w="233"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5241"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4"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9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4"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3"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5241" w:type="dxa"/>
            <w:tcBorders/>
            <w:shd w:fill="CCEEFF" w:val="clear"/>
            <w:vAlign w:val="center"/>
          </w:tcPr>
          <w:p>
            <w:pPr>
              <w:pStyle w:val="TableContents"/>
              <w:bidi w:val="0"/>
              <w:spacing w:before="0" w:after="0"/>
              <w:ind w:left="0" w:right="0" w:hanging="144"/>
              <w:jc w:val="left"/>
              <w:rPr/>
            </w:pPr>
            <w:r>
              <w:rPr>
                <w:b/>
              </w:rPr>
              <w:t>Net income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b/>
              </w:rPr>
            </w:pPr>
            <w:r>
              <w:rPr>
                <w:b/>
              </w:rPr>
              <w:t>$</w:t>
            </w:r>
          </w:p>
        </w:tc>
        <w:tc>
          <w:tcPr>
            <w:tcW w:w="746" w:type="dxa"/>
            <w:tcBorders/>
            <w:shd w:fill="CCEEFF" w:val="clear"/>
            <w:vAlign w:val="center"/>
          </w:tcPr>
          <w:p>
            <w:pPr>
              <w:pStyle w:val="TableContents"/>
              <w:bidi w:val="0"/>
              <w:spacing w:before="0" w:after="283"/>
              <w:jc w:val="right"/>
              <w:rPr>
                <w:b/>
              </w:rPr>
            </w:pPr>
            <w:r>
              <w:rPr>
                <w:b/>
              </w:rPr>
              <w:t>53,030</w:t>
            </w:r>
          </w:p>
        </w:tc>
        <w:tc>
          <w:tcPr>
            <w:tcW w:w="1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22,510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104,172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59,255</w:t>
            </w:r>
          </w:p>
        </w:tc>
        <w:tc>
          <w:tcPr>
            <w:tcW w:w="233" w:type="dxa"/>
            <w:tcBorders/>
            <w:shd w:fill="CCEEFF" w:val="clear"/>
            <w:vAlign w:val="center"/>
          </w:tcPr>
          <w:p>
            <w:pPr>
              <w:pStyle w:val="TableContents"/>
              <w:bidi w:val="0"/>
              <w:spacing w:before="0" w:after="283"/>
              <w:jc w:val="left"/>
              <w:rPr/>
            </w:pPr>
            <w:r>
              <w:rPr/>
              <w:t> </w:t>
            </w:r>
          </w:p>
        </w:tc>
      </w:tr>
      <w:tr>
        <w:trPr/>
        <w:tc>
          <w:tcPr>
            <w:tcW w:w="5241" w:type="dxa"/>
            <w:tcBorders/>
            <w:vAlign w:val="center"/>
          </w:tcPr>
          <w:p>
            <w:pPr>
              <w:pStyle w:val="TableContents"/>
              <w:bidi w:val="0"/>
              <w:spacing w:before="0" w:after="0"/>
              <w:ind w:left="0" w:right="0" w:hanging="144"/>
              <w:jc w:val="left"/>
              <w:rPr/>
            </w:pPr>
            <w:r>
              <w:rPr>
                <w:b/>
              </w:rPr>
              <w:t>Other comprehensive income (loss), net of tax:</w:t>
            </w:r>
            <w:r>
              <w:rPr/>
              <w:t xml:space="preserve">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2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241" w:type="dxa"/>
            <w:tcBorders/>
            <w:vAlign w:val="center"/>
          </w:tcPr>
          <w:p>
            <w:pPr>
              <w:pStyle w:val="TableContents"/>
              <w:bidi w:val="0"/>
              <w:spacing w:before="0" w:after="0"/>
              <w:ind w:left="0" w:right="0" w:hanging="144"/>
              <w:jc w:val="left"/>
              <w:rPr/>
            </w:pPr>
            <w:r>
              <w:rPr>
                <w:b/>
                <w:i/>
              </w:rPr>
              <w:t>Securities available for sale:</w:t>
            </w:r>
            <w:r>
              <w:rPr/>
              <w:t xml:space="preserve">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241" w:type="dxa"/>
            <w:tcBorders/>
            <w:shd w:fill="CCEEFF" w:val="clear"/>
            <w:vAlign w:val="center"/>
          </w:tcPr>
          <w:p>
            <w:pPr>
              <w:pStyle w:val="TableContents"/>
              <w:bidi w:val="0"/>
              <w:spacing w:before="0" w:after="0"/>
              <w:ind w:left="0" w:right="0" w:hanging="144"/>
              <w:jc w:val="left"/>
              <w:rPr/>
            </w:pPr>
            <w:r>
              <w:rPr/>
              <w:t xml:space="preserve">Unrealized net holding (losses) gains arising during the period, gross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b/>
              </w:rPr>
            </w:pPr>
            <w:r>
              <w:rPr>
                <w:b/>
              </w:rPr>
              <w:t>$</w:t>
            </w:r>
          </w:p>
        </w:tc>
        <w:tc>
          <w:tcPr>
            <w:tcW w:w="746" w:type="dxa"/>
            <w:tcBorders/>
            <w:shd w:fill="CCEEFF" w:val="clear"/>
            <w:vAlign w:val="center"/>
          </w:tcPr>
          <w:p>
            <w:pPr>
              <w:pStyle w:val="TableContents"/>
              <w:bidi w:val="0"/>
              <w:spacing w:before="0" w:after="283"/>
              <w:jc w:val="right"/>
              <w:rPr>
                <w:b/>
              </w:rPr>
            </w:pPr>
            <w:r>
              <w:rPr>
                <w:b/>
              </w:rPr>
              <w:t>(2,510</w:t>
            </w:r>
          </w:p>
        </w:tc>
        <w:tc>
          <w:tcPr>
            <w:tcW w:w="194" w:type="dxa"/>
            <w:tcBorders/>
            <w:shd w:fill="CCEEFF" w:val="clear"/>
            <w:vAlign w:val="center"/>
          </w:tcPr>
          <w:p>
            <w:pPr>
              <w:pStyle w:val="TableContents"/>
              <w:bidi w:val="0"/>
              <w:spacing w:before="0" w:after="283"/>
              <w:jc w:val="left"/>
              <w:rPr>
                <w:b/>
              </w:rPr>
            </w:pPr>
            <w:r>
              <w:rPr>
                <w:b/>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15,121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(8,892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41,769</w:t>
            </w:r>
          </w:p>
        </w:tc>
        <w:tc>
          <w:tcPr>
            <w:tcW w:w="233" w:type="dxa"/>
            <w:tcBorders/>
            <w:shd w:fill="CCEEFF" w:val="clear"/>
            <w:vAlign w:val="center"/>
          </w:tcPr>
          <w:p>
            <w:pPr>
              <w:pStyle w:val="TableContents"/>
              <w:bidi w:val="0"/>
              <w:spacing w:before="0" w:after="283"/>
              <w:jc w:val="left"/>
              <w:rPr/>
            </w:pPr>
            <w:r>
              <w:rPr/>
              <w:t> </w:t>
            </w:r>
          </w:p>
        </w:tc>
      </w:tr>
      <w:tr>
        <w:trPr/>
        <w:tc>
          <w:tcPr>
            <w:tcW w:w="524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Tax effect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b/>
              </w:rPr>
            </w:pPr>
            <w:r>
              <w:rPr>
                <w:b/>
              </w:rPr>
              <w:t>627</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(3,781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2,223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(10,443</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Unrealized net holding (losses) gains arising during the period, net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(1,883</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11,340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(6,669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31,326</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241" w:type="dxa"/>
            <w:tcBorders/>
            <w:shd w:fill="CCEEFF" w:val="clear"/>
            <w:vAlign w:val="center"/>
          </w:tcPr>
          <w:p>
            <w:pPr>
              <w:pStyle w:val="TableContents"/>
              <w:bidi w:val="0"/>
              <w:spacing w:before="0" w:after="0"/>
              <w:ind w:left="0" w:right="0" w:hanging="144"/>
              <w:jc w:val="left"/>
              <w:rPr/>
            </w:pPr>
            <w:r>
              <w:rPr/>
              <w:t xml:space="preserve">Amortization of unrealized net gains for the reclassification of available for sale securities to held to maturity, gross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b/>
              </w:rPr>
            </w:pPr>
            <w:r>
              <w:rPr>
                <w:b/>
              </w:rPr>
              <w:t>$</w:t>
            </w:r>
          </w:p>
        </w:tc>
        <w:tc>
          <w:tcPr>
            <w:tcW w:w="746" w:type="dxa"/>
            <w:tcBorders/>
            <w:shd w:fill="CCEEFF" w:val="clear"/>
            <w:vAlign w:val="center"/>
          </w:tcPr>
          <w:p>
            <w:pPr>
              <w:pStyle w:val="TableContents"/>
              <w:bidi w:val="0"/>
              <w:spacing w:before="0" w:after="283"/>
              <w:jc w:val="right"/>
              <w:rPr>
                <w:b/>
              </w:rPr>
            </w:pPr>
            <w:r>
              <w:rPr>
                <w:b/>
              </w:rPr>
              <w:t>55</w:t>
            </w:r>
          </w:p>
        </w:tc>
        <w:tc>
          <w:tcPr>
            <w:tcW w:w="1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145</w:t>
            </w:r>
          </w:p>
        </w:tc>
        <w:tc>
          <w:tcPr>
            <w:tcW w:w="233" w:type="dxa"/>
            <w:tcBorders/>
            <w:shd w:fill="CCEEFF" w:val="clear"/>
            <w:vAlign w:val="center"/>
          </w:tcPr>
          <w:p>
            <w:pPr>
              <w:pStyle w:val="TableContents"/>
              <w:bidi w:val="0"/>
              <w:spacing w:before="0" w:after="283"/>
              <w:jc w:val="left"/>
              <w:rPr/>
            </w:pPr>
            <w:r>
              <w:rPr/>
              <w:t> </w:t>
            </w:r>
          </w:p>
        </w:tc>
      </w:tr>
      <w:tr>
        <w:trPr/>
        <w:tc>
          <w:tcPr>
            <w:tcW w:w="524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Tax effect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b/>
              </w:rPr>
            </w:pPr>
            <w:r>
              <w:rPr>
                <w:b/>
              </w:rPr>
              <w:t>(13</w:t>
            </w:r>
          </w:p>
        </w:tc>
        <w:tc>
          <w:tcPr>
            <w:tcW w:w="194"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(17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(28</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(36</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Amortization of unrealized net gains for the reclassification of available for sale securities to held to maturity, net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left"/>
              <w:rPr/>
            </w:pPr>
            <w:r>
              <w:rPr/>
              <w:t> </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securities available for sale, net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(1,841</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11,393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(6,584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31,435</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241" w:type="dxa"/>
            <w:tcBorders/>
            <w:shd w:fill="CCEEFF" w:val="clear"/>
            <w:vAlign w:val="center"/>
          </w:tcPr>
          <w:p>
            <w:pPr>
              <w:pStyle w:val="TableContents"/>
              <w:bidi w:val="0"/>
              <w:spacing w:before="0" w:after="0"/>
              <w:ind w:left="0" w:right="0" w:hanging="144"/>
              <w:jc w:val="left"/>
              <w:rPr/>
            </w:pPr>
            <w:r>
              <w:rPr>
                <w:b/>
                <w:i/>
              </w:rPr>
              <w:t>Pension and other benefits: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241" w:type="dxa"/>
            <w:tcBorders/>
            <w:vAlign w:val="center"/>
          </w:tcPr>
          <w:p>
            <w:pPr>
              <w:pStyle w:val="TableContents"/>
              <w:bidi w:val="0"/>
              <w:spacing w:before="0" w:after="0"/>
              <w:ind w:left="0" w:right="0" w:hanging="144"/>
              <w:jc w:val="left"/>
              <w:rPr/>
            </w:pPr>
            <w:r>
              <w:rPr/>
              <w:t xml:space="preserve">Amortization of prior service cost and actuarial losses, gross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b/>
              </w:rPr>
            </w:pPr>
            <w:r>
              <w:rPr>
                <w:b/>
              </w:rPr>
              <w:t>$</w:t>
            </w:r>
          </w:p>
        </w:tc>
        <w:tc>
          <w:tcPr>
            <w:tcW w:w="746" w:type="dxa"/>
            <w:tcBorders/>
            <w:vAlign w:val="center"/>
          </w:tcPr>
          <w:p>
            <w:pPr>
              <w:pStyle w:val="TableContents"/>
              <w:bidi w:val="0"/>
              <w:spacing w:before="0" w:after="283"/>
              <w:jc w:val="right"/>
              <w:rPr>
                <w:b/>
              </w:rPr>
            </w:pPr>
            <w:r>
              <w:rPr>
                <w:b/>
              </w:rPr>
              <w:t>32</w:t>
            </w:r>
          </w:p>
        </w:tc>
        <w:tc>
          <w:tcPr>
            <w:tcW w:w="1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283"/>
              <w:jc w:val="right"/>
              <w:rPr/>
            </w:pPr>
            <w:r>
              <w:rPr/>
              <w:t>307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631</w:t>
            </w:r>
          </w:p>
        </w:tc>
        <w:tc>
          <w:tcPr>
            <w:tcW w:w="233" w:type="dxa"/>
            <w:tcBorders/>
            <w:vAlign w:val="center"/>
          </w:tcPr>
          <w:p>
            <w:pPr>
              <w:pStyle w:val="TableContents"/>
              <w:bidi w:val="0"/>
              <w:spacing w:before="0" w:after="283"/>
              <w:jc w:val="left"/>
              <w:rPr/>
            </w:pPr>
            <w:r>
              <w:rPr/>
              <w:t> </w:t>
            </w:r>
          </w:p>
        </w:tc>
      </w:tr>
      <w:tr>
        <w:trPr/>
        <w:tc>
          <w:tcPr>
            <w:tcW w:w="5241"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Tax effect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(77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(158</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Amortization of prior service cost and actuarial losses, net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tcMar>
              <w:bottom w:w="28" w:type="dxa"/>
            </w:tcMar>
            <w:vAlign w:val="center"/>
          </w:tcPr>
          <w:p>
            <w:pPr>
              <w:pStyle w:val="TableContents"/>
              <w:bidi w:val="0"/>
              <w:spacing w:before="0" w:after="283"/>
              <w:jc w:val="right"/>
              <w:rPr>
                <w:b/>
              </w:rPr>
            </w:pPr>
            <w:r>
              <w:rPr>
                <w:b/>
              </w:rPr>
              <w:t>24</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230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48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473</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2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241" w:type="dxa"/>
            <w:tcBorders/>
            <w:vAlign w:val="center"/>
          </w:tcPr>
          <w:p>
            <w:pPr>
              <w:pStyle w:val="TableContents"/>
              <w:bidi w:val="0"/>
              <w:spacing w:before="0" w:after="0"/>
              <w:ind w:left="0" w:right="0" w:hanging="144"/>
              <w:jc w:val="left"/>
              <w:rPr/>
            </w:pPr>
            <w:r>
              <w:rPr/>
              <w:t xml:space="preserve">Decrease in unrecognized actuarial loss, gross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b/>
              </w:rPr>
            </w:pPr>
            <w:r>
              <w:rPr>
                <w:b/>
              </w:rPr>
              <w:t>$</w:t>
            </w:r>
          </w:p>
        </w:tc>
        <w:tc>
          <w:tcPr>
            <w:tcW w:w="746" w:type="dxa"/>
            <w:tcBorders/>
            <w:vAlign w:val="center"/>
          </w:tcPr>
          <w:p>
            <w:pPr>
              <w:pStyle w:val="TableContents"/>
              <w:bidi w:val="0"/>
              <w:spacing w:before="0" w:after="283"/>
              <w:jc w:val="right"/>
              <w:rPr>
                <w:b/>
              </w:rPr>
            </w:pPr>
            <w:r>
              <w:rPr>
                <w:b/>
              </w:rPr>
              <w:t xml:space="preserve">- </w:t>
            </w:r>
          </w:p>
        </w:tc>
        <w:tc>
          <w:tcPr>
            <w:tcW w:w="1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283"/>
              <w:jc w:val="right"/>
              <w:rPr/>
            </w:pPr>
            <w:r>
              <w:rPr/>
              <w:t>936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936</w:t>
            </w:r>
          </w:p>
        </w:tc>
        <w:tc>
          <w:tcPr>
            <w:tcW w:w="233" w:type="dxa"/>
            <w:tcBorders/>
            <w:vAlign w:val="center"/>
          </w:tcPr>
          <w:p>
            <w:pPr>
              <w:pStyle w:val="TableContents"/>
              <w:bidi w:val="0"/>
              <w:spacing w:before="0" w:after="283"/>
              <w:jc w:val="left"/>
              <w:rPr/>
            </w:pPr>
            <w:r>
              <w:rPr/>
              <w:t> </w:t>
            </w:r>
          </w:p>
        </w:tc>
      </w:tr>
      <w:tr>
        <w:trPr/>
        <w:tc>
          <w:tcPr>
            <w:tcW w:w="5241"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Tax effect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(234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(234</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Decrease in unrecognized actuarial loss, net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702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702</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tcMar>
              <w:bottom w:w="28" w:type="dxa"/>
            </w:tcMar>
            <w:vAlign w:val="center"/>
          </w:tcPr>
          <w:p>
            <w:pPr>
              <w:pStyle w:val="TableContents"/>
              <w:bidi w:val="0"/>
              <w:spacing w:before="0" w:after="0"/>
              <w:jc w:val="left"/>
              <w:rPr/>
            </w:pPr>
            <w:r>
              <w:rPr/>
              <w:t xml:space="preserve">Total pension and other benefits, net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tcMar>
              <w:bottom w:w="28" w:type="dxa"/>
            </w:tcMar>
            <w:vAlign w:val="center"/>
          </w:tcPr>
          <w:p>
            <w:pPr>
              <w:pStyle w:val="TableContents"/>
              <w:bidi w:val="0"/>
              <w:spacing w:before="0" w:after="283"/>
              <w:jc w:val="right"/>
              <w:rPr>
                <w:b/>
              </w:rPr>
            </w:pPr>
            <w:r>
              <w:rPr>
                <w:b/>
              </w:rPr>
              <w:t>24</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932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48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1,175</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2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241" w:type="dxa"/>
            <w:tcBorders>
              <w:bottom w:val="single" w:sz="12" w:space="0" w:color="000000"/>
            </w:tcBorders>
            <w:tcMar>
              <w:bottom w:w="28" w:type="dxa"/>
            </w:tcMar>
            <w:vAlign w:val="center"/>
          </w:tcPr>
          <w:p>
            <w:pPr>
              <w:pStyle w:val="TableContents"/>
              <w:bidi w:val="0"/>
              <w:spacing w:before="0" w:after="0"/>
              <w:jc w:val="left"/>
              <w:rPr/>
            </w:pPr>
            <w:r>
              <w:rPr/>
              <w:t xml:space="preserve">Total other comprehensive (loss) income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tcMar>
              <w:bottom w:w="28" w:type="dxa"/>
            </w:tcMar>
            <w:vAlign w:val="center"/>
          </w:tcPr>
          <w:p>
            <w:pPr>
              <w:pStyle w:val="TableContents"/>
              <w:bidi w:val="0"/>
              <w:spacing w:before="0" w:after="283"/>
              <w:jc w:val="right"/>
              <w:rPr>
                <w:b/>
              </w:rPr>
            </w:pPr>
            <w:r>
              <w:rPr>
                <w:b/>
              </w:rPr>
              <w:t>(1,817</w:t>
            </w:r>
          </w:p>
        </w:tc>
        <w:tc>
          <w:tcPr>
            <w:tcW w:w="194"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12,325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(6,536</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32,610</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241"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Comprehensive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51,213</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34,835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97,636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91,865</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See accompanying notes to unaudited interim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bookmarkStart w:id="9" w:name="Stockholders_Equity"/>
      <w:bookmarkEnd w:id="9"/>
      <w:r>
        <w:rPr>
          <w:rFonts w:ascii="TimesNewRoman;Times New Roman;Times;Baskerville;Georgia;serif" w:hAnsi="TimesNewRoman;Times New Roman;Times;Baskerville;Georgia;serif"/>
          <w:b/>
          <w:color w:val="000000"/>
          <w:sz w:val="20"/>
        </w:rPr>
        <w:t>Consolidated Statements of Changes in Stockholders’ Equity (unaudited)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402"/>
        <w:gridCol w:w="90"/>
        <w:gridCol w:w="291"/>
        <w:gridCol w:w="704"/>
        <w:gridCol w:w="90"/>
        <w:gridCol w:w="90"/>
        <w:gridCol w:w="192"/>
        <w:gridCol w:w="938"/>
        <w:gridCol w:w="185"/>
        <w:gridCol w:w="90"/>
        <w:gridCol w:w="170"/>
        <w:gridCol w:w="1010"/>
        <w:gridCol w:w="185"/>
        <w:gridCol w:w="90"/>
        <w:gridCol w:w="258"/>
        <w:gridCol w:w="1382"/>
        <w:gridCol w:w="185"/>
        <w:gridCol w:w="90"/>
        <w:gridCol w:w="170"/>
        <w:gridCol w:w="905"/>
        <w:gridCol w:w="185"/>
        <w:gridCol w:w="90"/>
        <w:gridCol w:w="170"/>
        <w:gridCol w:w="1010"/>
        <w:gridCol w:w="233"/>
      </w:tblGrid>
      <w:tr>
        <w:trPr/>
        <w:tc>
          <w:tcPr>
            <w:tcW w:w="1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1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pPr>
            <w:r>
              <w:rPr>
                <w:b/>
              </w:rPr>
              <w:t>Accumulated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center"/>
              <w:rPr/>
            </w:pPr>
            <w:r>
              <w:rPr/>
              <w:t> </w:t>
            </w:r>
          </w:p>
        </w:tc>
      </w:tr>
      <w:tr>
        <w:trPr/>
        <w:tc>
          <w:tcPr>
            <w:tcW w:w="1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b/>
              </w:rPr>
              <w:t>Additional</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pPr>
            <w:r>
              <w:rPr>
                <w:b/>
              </w:rPr>
              <w:t>Other</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b/>
              </w:rPr>
              <w:t>Common</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center"/>
              <w:rPr/>
            </w:pPr>
            <w:r>
              <w:rPr/>
              <w:t> </w:t>
            </w:r>
          </w:p>
        </w:tc>
      </w:tr>
      <w:tr>
        <w:trPr/>
        <w:tc>
          <w:tcPr>
            <w:tcW w:w="1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b/>
              </w:rPr>
              <w:t>Common</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b/>
              </w:rPr>
              <w:t>Paid-in-</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b/>
              </w:rPr>
              <w:t>Retained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pPr>
            <w:r>
              <w:rPr>
                <w:b/>
              </w:rPr>
              <w:t>Comprehensive</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b/>
              </w:rPr>
              <w:t>Stock in</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ind w:left="0" w:right="0" w:hanging="150"/>
              <w:jc w:val="center"/>
              <w:rPr/>
            </w:pPr>
            <w:r>
              <w:rPr/>
              <w:t> </w:t>
            </w:r>
          </w:p>
        </w:tc>
      </w:tr>
      <w:tr>
        <w:trPr/>
        <w:tc>
          <w:tcPr>
            <w:tcW w:w="1402" w:type="dxa"/>
            <w:tcBorders>
              <w:bottom w:val="single" w:sz="12" w:space="0" w:color="000000"/>
            </w:tcBorders>
            <w:tcMar>
              <w:bottom w:w="28" w:type="dxa"/>
            </w:tcMar>
            <w:vAlign w:val="center"/>
          </w:tcPr>
          <w:p>
            <w:pPr>
              <w:pStyle w:val="TableContents"/>
              <w:bidi w:val="0"/>
              <w:spacing w:before="0" w:after="0"/>
              <w:jc w:val="left"/>
              <w:rPr/>
            </w:pPr>
            <w:r>
              <w:rPr>
                <w:i/>
              </w:rPr>
              <w:t>(In thousands, except share and per share data)</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b/>
              </w:rPr>
              <w:t>Stock</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pPr>
            <w:r>
              <w:rPr>
                <w:b/>
              </w:rPr>
              <w:t>Capital</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Earnings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pPr>
            <w:r>
              <w:rPr>
                <w:b/>
              </w:rPr>
              <w:t>(Loss) Income</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b/>
              </w:rPr>
              <w:t>Treasury</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3"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402"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b/>
              </w:rPr>
              <w:t>Balance at March 31, 2026</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965,891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1,228,753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(87,315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(193,523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1,914,397</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02" w:type="dxa"/>
            <w:tcBorders/>
            <w:vAlign w:val="center"/>
          </w:tcPr>
          <w:p>
            <w:pPr>
              <w:pStyle w:val="TableContents"/>
              <w:bidi w:val="0"/>
              <w:spacing w:before="0" w:after="0"/>
              <w:ind w:left="0" w:right="0" w:hanging="144"/>
              <w:jc w:val="left"/>
              <w:rPr/>
            </w:pPr>
            <w:r>
              <w:rPr/>
              <w:t xml:space="preserve">Net income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53,030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53,030</w:t>
            </w:r>
          </w:p>
        </w:tc>
        <w:tc>
          <w:tcPr>
            <w:tcW w:w="233" w:type="dxa"/>
            <w:tcBorders/>
            <w:vAlign w:val="center"/>
          </w:tcPr>
          <w:p>
            <w:pPr>
              <w:pStyle w:val="TableContents"/>
              <w:bidi w:val="0"/>
              <w:spacing w:before="0" w:after="283"/>
              <w:jc w:val="left"/>
              <w:rPr/>
            </w:pPr>
            <w:r>
              <w:rPr/>
              <w:t> </w:t>
            </w:r>
          </w:p>
        </w:tc>
      </w:tr>
      <w:tr>
        <w:trPr/>
        <w:tc>
          <w:tcPr>
            <w:tcW w:w="1402" w:type="dxa"/>
            <w:tcBorders/>
            <w:shd w:fill="CCEEFF" w:val="clear"/>
            <w:vAlign w:val="center"/>
          </w:tcPr>
          <w:p>
            <w:pPr>
              <w:pStyle w:val="TableContents"/>
              <w:bidi w:val="0"/>
              <w:spacing w:before="0" w:after="0"/>
              <w:ind w:left="0" w:right="0" w:hanging="144"/>
              <w:jc w:val="left"/>
              <w:rPr/>
            </w:pPr>
            <w:r>
              <w:rPr/>
              <w:t xml:space="preserve">Cash dividends - $0.37 per share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(19,224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(19,224</w:t>
            </w:r>
          </w:p>
        </w:tc>
        <w:tc>
          <w:tcPr>
            <w:tcW w:w="233" w:type="dxa"/>
            <w:tcBorders/>
            <w:shd w:fill="CCEEFF" w:val="clear"/>
            <w:vAlign w:val="center"/>
          </w:tcPr>
          <w:p>
            <w:pPr>
              <w:pStyle w:val="TableContents"/>
              <w:bidi w:val="0"/>
              <w:spacing w:before="0" w:after="283"/>
              <w:jc w:val="left"/>
              <w:rPr/>
            </w:pPr>
            <w:r>
              <w:rPr/>
              <w:t>) </w:t>
            </w:r>
          </w:p>
        </w:tc>
      </w:tr>
      <w:tr>
        <w:trPr/>
        <w:tc>
          <w:tcPr>
            <w:tcW w:w="1402" w:type="dxa"/>
            <w:tcBorders/>
            <w:vAlign w:val="center"/>
          </w:tcPr>
          <w:p>
            <w:pPr>
              <w:pStyle w:val="TableContents"/>
              <w:bidi w:val="0"/>
              <w:spacing w:before="0" w:after="0"/>
              <w:ind w:left="0" w:right="0" w:hanging="144"/>
              <w:jc w:val="left"/>
              <w:rPr/>
            </w:pPr>
            <w:r>
              <w:rPr/>
              <w:t xml:space="preserve">Purchase of 68,595 treasury shares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(3,016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(3,016</w:t>
            </w:r>
          </w:p>
        </w:tc>
        <w:tc>
          <w:tcPr>
            <w:tcW w:w="233" w:type="dxa"/>
            <w:tcBorders/>
            <w:vAlign w:val="center"/>
          </w:tcPr>
          <w:p>
            <w:pPr>
              <w:pStyle w:val="TableContents"/>
              <w:bidi w:val="0"/>
              <w:spacing w:before="0" w:after="283"/>
              <w:jc w:val="left"/>
              <w:rPr/>
            </w:pPr>
            <w:r>
              <w:rPr/>
              <w:t>) </w:t>
            </w:r>
          </w:p>
        </w:tc>
      </w:tr>
      <w:tr>
        <w:trPr/>
        <w:tc>
          <w:tcPr>
            <w:tcW w:w="1402" w:type="dxa"/>
            <w:tcBorders/>
            <w:shd w:fill="CCEEFF" w:val="clear"/>
            <w:vAlign w:val="center"/>
          </w:tcPr>
          <w:p>
            <w:pPr>
              <w:pStyle w:val="TableContents"/>
              <w:bidi w:val="0"/>
              <w:spacing w:before="0" w:after="0"/>
              <w:ind w:left="0" w:right="0" w:hanging="144"/>
              <w:jc w:val="left"/>
              <w:rPr/>
            </w:pPr>
            <w:r>
              <w:rPr/>
              <w:t xml:space="preserve">Net issuance of 13,933 shares to employee and other stock plans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(322</w:t>
            </w:r>
          </w:p>
        </w:tc>
        <w:tc>
          <w:tcPr>
            <w:tcW w:w="233" w:type="dxa"/>
            <w:tcBorders/>
            <w:shd w:fill="CCEEFF" w:val="clear"/>
            <w:vAlign w:val="center"/>
          </w:tcPr>
          <w:p>
            <w:pPr>
              <w:pStyle w:val="TableContents"/>
              <w:bidi w:val="0"/>
              <w:spacing w:before="0" w:after="283"/>
              <w:jc w:val="left"/>
              <w:rPr/>
            </w:pPr>
            <w:r>
              <w:rPr/>
              <w:t>) </w:t>
            </w:r>
          </w:p>
        </w:tc>
      </w:tr>
      <w:tr>
        <w:trPr/>
        <w:tc>
          <w:tcPr>
            <w:tcW w:w="1402" w:type="dxa"/>
            <w:tcBorders/>
            <w:vAlign w:val="center"/>
          </w:tcPr>
          <w:p>
            <w:pPr>
              <w:pStyle w:val="TableContents"/>
              <w:bidi w:val="0"/>
              <w:spacing w:before="0" w:after="0"/>
              <w:ind w:left="0" w:right="0" w:hanging="144"/>
              <w:jc w:val="left"/>
              <w:rPr/>
            </w:pPr>
            <w:r>
              <w:rPr/>
              <w:t xml:space="preserve">Stock-based compensation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871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871</w:t>
            </w:r>
          </w:p>
        </w:tc>
        <w:tc>
          <w:tcPr>
            <w:tcW w:w="233" w:type="dxa"/>
            <w:tcBorders/>
            <w:vAlign w:val="center"/>
          </w:tcPr>
          <w:p>
            <w:pPr>
              <w:pStyle w:val="TableContents"/>
              <w:bidi w:val="0"/>
              <w:spacing w:before="0" w:after="283"/>
              <w:jc w:val="left"/>
              <w:rPr/>
            </w:pPr>
            <w:r>
              <w:rPr/>
              <w:t> </w:t>
            </w:r>
          </w:p>
        </w:tc>
      </w:tr>
      <w:tr>
        <w:trPr/>
        <w:tc>
          <w:tcPr>
            <w:tcW w:w="1402"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comprehensive (loss)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pPr>
            <w:r>
              <w:rPr/>
              <w:t>(1,817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(1,817</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02" w:type="dxa"/>
            <w:tcBorders>
              <w:bottom w:val="double" w:sz="8" w:space="0" w:color="000000"/>
            </w:tcBorders>
            <w:tcMar>
              <w:bottom w:w="28" w:type="dxa"/>
            </w:tcMar>
            <w:vAlign w:val="center"/>
          </w:tcPr>
          <w:p>
            <w:pPr>
              <w:pStyle w:val="TableContents"/>
              <w:bidi w:val="0"/>
              <w:spacing w:before="0" w:after="0"/>
              <w:ind w:left="0" w:right="0" w:hanging="144"/>
              <w:jc w:val="left"/>
              <w:rPr/>
            </w:pPr>
            <w:r>
              <w:rPr>
                <w:b/>
              </w:rPr>
              <w:t>Balance at June 30, 2026</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91"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704" w:type="dxa"/>
            <w:tcBorders>
              <w:bottom w:val="double" w:sz="8" w:space="0" w:color="000000"/>
            </w:tcBorders>
            <w:tcMar>
              <w:bottom w:w="28" w:type="dxa"/>
            </w:tcMar>
            <w:vAlign w:val="center"/>
          </w:tcPr>
          <w:p>
            <w:pPr>
              <w:pStyle w:val="TableContents"/>
              <w:bidi w:val="0"/>
              <w:spacing w:before="0" w:after="283"/>
              <w:jc w:val="right"/>
              <w:rPr>
                <w:b/>
              </w:rPr>
            </w:pPr>
            <w:r>
              <w:rPr>
                <w:b/>
              </w:rPr>
              <w:t>591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92"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38" w:type="dxa"/>
            <w:tcBorders>
              <w:bottom w:val="double" w:sz="8" w:space="0" w:color="000000"/>
            </w:tcBorders>
            <w:tcMar>
              <w:bottom w:w="28" w:type="dxa"/>
            </w:tcMar>
            <w:vAlign w:val="center"/>
          </w:tcPr>
          <w:p>
            <w:pPr>
              <w:pStyle w:val="TableContents"/>
              <w:bidi w:val="0"/>
              <w:spacing w:before="0" w:after="283"/>
              <w:jc w:val="right"/>
              <w:rPr>
                <w:b/>
              </w:rPr>
            </w:pPr>
            <w:r>
              <w:rPr>
                <w:b/>
              </w:rPr>
              <w:t>966,124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1,262,559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58"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382" w:type="dxa"/>
            <w:tcBorders>
              <w:bottom w:val="double" w:sz="8" w:space="0" w:color="000000"/>
            </w:tcBorders>
            <w:tcMar>
              <w:bottom w:w="28" w:type="dxa"/>
            </w:tcMar>
            <w:vAlign w:val="center"/>
          </w:tcPr>
          <w:p>
            <w:pPr>
              <w:pStyle w:val="TableContents"/>
              <w:bidi w:val="0"/>
              <w:spacing w:before="0" w:after="283"/>
              <w:jc w:val="right"/>
              <w:rPr>
                <w:b/>
              </w:rPr>
            </w:pPr>
            <w:r>
              <w:rPr>
                <w:b/>
              </w:rPr>
              <w:t>(89,132</w:t>
            </w:r>
          </w:p>
        </w:tc>
        <w:tc>
          <w:tcPr>
            <w:tcW w:w="185" w:type="dxa"/>
            <w:tcBorders>
              <w:bottom w:val="double" w:sz="8"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double" w:sz="8" w:space="0" w:color="000000"/>
            </w:tcBorders>
            <w:tcMar>
              <w:bottom w:w="28" w:type="dxa"/>
            </w:tcMar>
            <w:vAlign w:val="center"/>
          </w:tcPr>
          <w:p>
            <w:pPr>
              <w:pStyle w:val="TableContents"/>
              <w:bidi w:val="0"/>
              <w:spacing w:before="0" w:after="283"/>
              <w:jc w:val="right"/>
              <w:rPr>
                <w:b/>
              </w:rPr>
            </w:pPr>
            <w:r>
              <w:rPr>
                <w:b/>
              </w:rPr>
              <w:t>(196,223</w:t>
            </w:r>
          </w:p>
        </w:tc>
        <w:tc>
          <w:tcPr>
            <w:tcW w:w="185" w:type="dxa"/>
            <w:tcBorders>
              <w:bottom w:val="double" w:sz="8"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1,943,919</w:t>
            </w:r>
          </w:p>
        </w:tc>
        <w:tc>
          <w:tcPr>
            <w:tcW w:w="233"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4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02"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Balance at March 31, 2025</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04" w:type="dxa"/>
            <w:tcBorders>
              <w:bottom w:val="single" w:sz="12" w:space="0" w:color="000000"/>
            </w:tcBorders>
            <w:tcMar>
              <w:bottom w:w="28" w:type="dxa"/>
            </w:tcMar>
            <w:vAlign w:val="center"/>
          </w:tcPr>
          <w:p>
            <w:pPr>
              <w:pStyle w:val="TableContents"/>
              <w:bidi w:val="0"/>
              <w:spacing w:before="0" w:after="283"/>
              <w:jc w:val="right"/>
              <w:rPr>
                <w:b/>
              </w:rPr>
            </w:pPr>
            <w:r>
              <w:rPr>
                <w:b/>
              </w:rPr>
              <w:t>540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38" w:type="dxa"/>
            <w:tcBorders>
              <w:bottom w:val="single" w:sz="12" w:space="0" w:color="000000"/>
            </w:tcBorders>
            <w:tcMar>
              <w:bottom w:w="28" w:type="dxa"/>
            </w:tcMar>
            <w:vAlign w:val="center"/>
          </w:tcPr>
          <w:p>
            <w:pPr>
              <w:pStyle w:val="TableContents"/>
              <w:bidi w:val="0"/>
              <w:spacing w:before="0" w:after="283"/>
              <w:jc w:val="right"/>
              <w:rPr>
                <w:b/>
              </w:rPr>
            </w:pPr>
            <w:r>
              <w:rPr>
                <w:b/>
              </w:rPr>
              <w:t>740,865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1,120,887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382" w:type="dxa"/>
            <w:tcBorders>
              <w:bottom w:val="single" w:sz="12" w:space="0" w:color="000000"/>
            </w:tcBorders>
            <w:tcMar>
              <w:bottom w:w="28" w:type="dxa"/>
            </w:tcMar>
            <w:vAlign w:val="center"/>
          </w:tcPr>
          <w:p>
            <w:pPr>
              <w:pStyle w:val="TableContents"/>
              <w:bidi w:val="0"/>
              <w:spacing w:before="0" w:after="283"/>
              <w:jc w:val="right"/>
              <w:rPr>
                <w:b/>
              </w:rPr>
            </w:pPr>
            <w:r>
              <w:rPr>
                <w:b/>
              </w:rPr>
              <w:t>(121,813</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(174,704</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1,565,775</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02"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22,510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22,510</w:t>
            </w:r>
          </w:p>
        </w:tc>
        <w:tc>
          <w:tcPr>
            <w:tcW w:w="233" w:type="dxa"/>
            <w:tcBorders/>
            <w:shd w:fill="CCEEFF" w:val="clear"/>
            <w:vAlign w:val="center"/>
          </w:tcPr>
          <w:p>
            <w:pPr>
              <w:pStyle w:val="TableContents"/>
              <w:bidi w:val="0"/>
              <w:spacing w:before="0" w:after="283"/>
              <w:jc w:val="left"/>
              <w:rPr/>
            </w:pPr>
            <w:r>
              <w:rPr/>
              <w:t> </w:t>
            </w:r>
          </w:p>
        </w:tc>
      </w:tr>
      <w:tr>
        <w:trPr/>
        <w:tc>
          <w:tcPr>
            <w:tcW w:w="1402" w:type="dxa"/>
            <w:tcBorders/>
            <w:vAlign w:val="center"/>
          </w:tcPr>
          <w:p>
            <w:pPr>
              <w:pStyle w:val="TableContents"/>
              <w:bidi w:val="0"/>
              <w:spacing w:before="0" w:after="0"/>
              <w:ind w:left="0" w:right="0" w:hanging="144"/>
              <w:jc w:val="left"/>
              <w:rPr/>
            </w:pPr>
            <w:r>
              <w:rPr/>
              <w:t xml:space="preserve">Cash dividends - $0.34 per share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(17,808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(17,808</w:t>
            </w:r>
          </w:p>
        </w:tc>
        <w:tc>
          <w:tcPr>
            <w:tcW w:w="233" w:type="dxa"/>
            <w:tcBorders/>
            <w:vAlign w:val="center"/>
          </w:tcPr>
          <w:p>
            <w:pPr>
              <w:pStyle w:val="TableContents"/>
              <w:bidi w:val="0"/>
              <w:spacing w:before="0" w:after="283"/>
              <w:jc w:val="left"/>
              <w:rPr/>
            </w:pPr>
            <w:r>
              <w:rPr/>
              <w:t>) </w:t>
            </w:r>
          </w:p>
        </w:tc>
      </w:tr>
      <w:tr>
        <w:trPr/>
        <w:tc>
          <w:tcPr>
            <w:tcW w:w="1402" w:type="dxa"/>
            <w:tcBorders/>
            <w:shd w:fill="CCEEFF" w:val="clear"/>
            <w:vAlign w:val="center"/>
          </w:tcPr>
          <w:p>
            <w:pPr>
              <w:pStyle w:val="TableContents"/>
              <w:bidi w:val="0"/>
              <w:spacing w:before="0" w:after="0"/>
              <w:ind w:left="0" w:right="0" w:hanging="144"/>
              <w:jc w:val="left"/>
              <w:rPr/>
            </w:pPr>
            <w:r>
              <w:rPr/>
              <w:t xml:space="preserve">Issuance of 5,108,663 shares of common stock for acquisition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221,716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221,767</w:t>
            </w:r>
          </w:p>
        </w:tc>
        <w:tc>
          <w:tcPr>
            <w:tcW w:w="233" w:type="dxa"/>
            <w:tcBorders/>
            <w:shd w:fill="CCEEFF" w:val="clear"/>
            <w:vAlign w:val="center"/>
          </w:tcPr>
          <w:p>
            <w:pPr>
              <w:pStyle w:val="TableContents"/>
              <w:bidi w:val="0"/>
              <w:spacing w:before="0" w:after="283"/>
              <w:jc w:val="left"/>
              <w:rPr/>
            </w:pPr>
            <w:r>
              <w:rPr/>
              <w:t> </w:t>
            </w:r>
          </w:p>
        </w:tc>
      </w:tr>
      <w:tr>
        <w:trPr/>
        <w:tc>
          <w:tcPr>
            <w:tcW w:w="1402" w:type="dxa"/>
            <w:tcBorders/>
            <w:vAlign w:val="center"/>
          </w:tcPr>
          <w:p>
            <w:pPr>
              <w:pStyle w:val="TableContents"/>
              <w:bidi w:val="0"/>
              <w:spacing w:before="0" w:after="0"/>
              <w:ind w:left="0" w:right="0" w:hanging="144"/>
              <w:jc w:val="left"/>
              <w:rPr/>
            </w:pPr>
            <w:r>
              <w:rPr/>
              <w:t xml:space="preserve">Net issuance of 13,218 shares to employee and other stock plans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(586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(276</w:t>
            </w:r>
          </w:p>
        </w:tc>
        <w:tc>
          <w:tcPr>
            <w:tcW w:w="233" w:type="dxa"/>
            <w:tcBorders/>
            <w:vAlign w:val="center"/>
          </w:tcPr>
          <w:p>
            <w:pPr>
              <w:pStyle w:val="TableContents"/>
              <w:bidi w:val="0"/>
              <w:spacing w:before="0" w:after="283"/>
              <w:jc w:val="left"/>
              <w:rPr/>
            </w:pPr>
            <w:r>
              <w:rPr/>
              <w:t>) </w:t>
            </w:r>
          </w:p>
        </w:tc>
      </w:tr>
      <w:tr>
        <w:trPr/>
        <w:tc>
          <w:tcPr>
            <w:tcW w:w="1402" w:type="dxa"/>
            <w:tcBorders/>
            <w:shd w:fill="CCEEFF" w:val="clear"/>
            <w:vAlign w:val="center"/>
          </w:tcPr>
          <w:p>
            <w:pPr>
              <w:pStyle w:val="TableContents"/>
              <w:bidi w:val="0"/>
              <w:spacing w:before="0" w:after="0"/>
              <w:ind w:left="0" w:right="0" w:hanging="144"/>
              <w:jc w:val="left"/>
              <w:rPr/>
            </w:pPr>
            <w:r>
              <w:rPr/>
              <w:t xml:space="preserve">Stock-based compensation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873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873</w:t>
            </w:r>
          </w:p>
        </w:tc>
        <w:tc>
          <w:tcPr>
            <w:tcW w:w="233" w:type="dxa"/>
            <w:tcBorders/>
            <w:shd w:fill="CCEEFF" w:val="clear"/>
            <w:vAlign w:val="center"/>
          </w:tcPr>
          <w:p>
            <w:pPr>
              <w:pStyle w:val="TableContents"/>
              <w:bidi w:val="0"/>
              <w:spacing w:before="0" w:after="283"/>
              <w:jc w:val="left"/>
              <w:rPr/>
            </w:pPr>
            <w:r>
              <w:rPr/>
              <w:t> </w:t>
            </w:r>
          </w:p>
        </w:tc>
      </w:tr>
      <w:tr>
        <w:trPr/>
        <w:tc>
          <w:tcPr>
            <w:tcW w:w="1402"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comprehensive income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tcMar>
              <w:bottom w:w="28" w:type="dxa"/>
            </w:tcMar>
            <w:vAlign w:val="center"/>
          </w:tcPr>
          <w:p>
            <w:pPr>
              <w:pStyle w:val="TableContents"/>
              <w:bidi w:val="0"/>
              <w:spacing w:before="0" w:after="283"/>
              <w:jc w:val="right"/>
              <w:rPr/>
            </w:pPr>
            <w:r>
              <w:rPr/>
              <w:t>12,325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12,325</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02"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b/>
              </w:rPr>
              <w:t>Balance at June 30, 2025</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04"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591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962,868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1,125,589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8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(109,488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(174,394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1,805,166</w:t>
            </w:r>
          </w:p>
        </w:tc>
        <w:tc>
          <w:tcPr>
            <w:tcW w:w="23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403"/>
        <w:gridCol w:w="90"/>
        <w:gridCol w:w="291"/>
        <w:gridCol w:w="704"/>
        <w:gridCol w:w="90"/>
        <w:gridCol w:w="90"/>
        <w:gridCol w:w="192"/>
        <w:gridCol w:w="938"/>
        <w:gridCol w:w="185"/>
        <w:gridCol w:w="90"/>
        <w:gridCol w:w="170"/>
        <w:gridCol w:w="1010"/>
        <w:gridCol w:w="185"/>
        <w:gridCol w:w="90"/>
        <w:gridCol w:w="258"/>
        <w:gridCol w:w="1382"/>
        <w:gridCol w:w="185"/>
        <w:gridCol w:w="90"/>
        <w:gridCol w:w="170"/>
        <w:gridCol w:w="905"/>
        <w:gridCol w:w="185"/>
        <w:gridCol w:w="90"/>
        <w:gridCol w:w="170"/>
        <w:gridCol w:w="1010"/>
        <w:gridCol w:w="232"/>
      </w:tblGrid>
      <w:tr>
        <w:trPr/>
        <w:tc>
          <w:tcPr>
            <w:tcW w:w="14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pPr>
            <w:r>
              <w:rPr>
                <w:b/>
                <w:spacing w:val="0"/>
              </w:rPr>
              <w:t>Accumulated</w:t>
            </w: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center"/>
              <w:rPr/>
            </w:pPr>
            <w:r>
              <w:rPr/>
              <w:t> </w:t>
            </w:r>
          </w:p>
        </w:tc>
      </w:tr>
      <w:tr>
        <w:trPr/>
        <w:tc>
          <w:tcPr>
            <w:tcW w:w="14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spacing w:val="0"/>
              </w:rPr>
            </w:pPr>
            <w:r>
              <w:rPr>
                <w:b/>
                <w:spacing w:val="0"/>
              </w:rPr>
              <w:t>Additional</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b/>
                <w:spacing w:val="0"/>
              </w:rPr>
            </w:pPr>
            <w:r>
              <w:rPr>
                <w:b/>
                <w:spacing w:val="0"/>
              </w:rPr>
              <w:t>Other</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t> </w:t>
            </w:r>
            <w:r>
              <w:rPr>
                <w:b/>
                <w:spacing w:val="0"/>
              </w:rPr>
              <w:t>Common</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center"/>
              <w:rPr/>
            </w:pPr>
            <w:r>
              <w:rPr/>
              <w:t> </w:t>
            </w:r>
          </w:p>
        </w:tc>
      </w:tr>
      <w:tr>
        <w:trPr/>
        <w:tc>
          <w:tcPr>
            <w:tcW w:w="14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b/>
              </w:rPr>
              <w:t>Common</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b/>
              </w:rPr>
              <w:t>Paid-in-</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b/>
              </w:rPr>
              <w:t>Retained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pPr>
            <w:r>
              <w:rPr>
                <w:b/>
              </w:rPr>
              <w:t>Comprehensive</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center"/>
              <w:rPr/>
            </w:pPr>
            <w:r>
              <w:rPr>
                <w:b/>
              </w:rPr>
              <w:t>Stock in</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232" w:type="dxa"/>
            <w:tcBorders/>
            <w:vAlign w:val="center"/>
          </w:tcPr>
          <w:p>
            <w:pPr>
              <w:pStyle w:val="TableContents"/>
              <w:bidi w:val="0"/>
              <w:spacing w:before="0" w:after="283"/>
              <w:jc w:val="center"/>
              <w:rPr/>
            </w:pPr>
            <w:r>
              <w:rPr/>
              <w:t> </w:t>
            </w:r>
          </w:p>
        </w:tc>
      </w:tr>
      <w:tr>
        <w:trPr/>
        <w:tc>
          <w:tcPr>
            <w:tcW w:w="1403"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 except share and per share data)</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b/>
              </w:rPr>
              <w:t>Stock</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pPr>
            <w:r>
              <w:rPr>
                <w:b/>
              </w:rPr>
              <w:t>Capital</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Earnings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pPr>
            <w:r>
              <w:rPr>
                <w:b/>
              </w:rPr>
              <w:t>(Loss) Income</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b/>
              </w:rPr>
              <w:t>Treasury</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2"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40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b/>
              </w:rPr>
              <w:t>Balance at December 31,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964,778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1,196,850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(82,596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(183,407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1,896,216</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144"/>
              <w:jc w:val="left"/>
              <w:rPr/>
            </w:pPr>
            <w:r>
              <w:rPr/>
              <w:t xml:space="preserve">Net income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104,172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104,172</w:t>
            </w:r>
          </w:p>
        </w:tc>
        <w:tc>
          <w:tcPr>
            <w:tcW w:w="232" w:type="dxa"/>
            <w:tcBorders/>
            <w:vAlign w:val="center"/>
          </w:tcPr>
          <w:p>
            <w:pPr>
              <w:pStyle w:val="TableContents"/>
              <w:bidi w:val="0"/>
              <w:spacing w:before="0" w:after="283"/>
              <w:jc w:val="left"/>
              <w:rPr/>
            </w:pPr>
            <w:r>
              <w:rPr/>
              <w:t> </w:t>
            </w:r>
          </w:p>
        </w:tc>
      </w:tr>
      <w:tr>
        <w:trPr/>
        <w:tc>
          <w:tcPr>
            <w:tcW w:w="1403" w:type="dxa"/>
            <w:tcBorders/>
            <w:shd w:fill="CCEEFF" w:val="clear"/>
            <w:vAlign w:val="center"/>
          </w:tcPr>
          <w:p>
            <w:pPr>
              <w:pStyle w:val="TableContents"/>
              <w:bidi w:val="0"/>
              <w:spacing w:before="0" w:after="0"/>
              <w:ind w:left="0" w:right="0" w:hanging="144"/>
              <w:jc w:val="left"/>
              <w:rPr/>
            </w:pPr>
            <w:r>
              <w:rPr/>
              <w:t xml:space="preserve">Cash dividends - $0.74 per share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(38,463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(38,463</w:t>
            </w:r>
          </w:p>
        </w:tc>
        <w:tc>
          <w:tcPr>
            <w:tcW w:w="232" w:type="dxa"/>
            <w:tcBorders/>
            <w:shd w:fill="CCEEFF" w:val="clear"/>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144"/>
              <w:jc w:val="left"/>
              <w:rPr/>
            </w:pPr>
            <w:r>
              <w:rPr/>
              <w:t xml:space="preserve">Purchase of 318,595 treasury shares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(14,030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(14,030</w:t>
            </w:r>
          </w:p>
        </w:tc>
        <w:tc>
          <w:tcPr>
            <w:tcW w:w="232" w:type="dxa"/>
            <w:tcBorders/>
            <w:vAlign w:val="center"/>
          </w:tcPr>
          <w:p>
            <w:pPr>
              <w:pStyle w:val="TableContents"/>
              <w:bidi w:val="0"/>
              <w:spacing w:before="0" w:after="283"/>
              <w:jc w:val="left"/>
              <w:rPr/>
            </w:pPr>
            <w:r>
              <w:rPr/>
              <w:t>) </w:t>
            </w:r>
          </w:p>
        </w:tc>
      </w:tr>
      <w:tr>
        <w:trPr/>
        <w:tc>
          <w:tcPr>
            <w:tcW w:w="1403" w:type="dxa"/>
            <w:tcBorders/>
            <w:shd w:fill="CCEEFF" w:val="clear"/>
            <w:vAlign w:val="center"/>
          </w:tcPr>
          <w:p>
            <w:pPr>
              <w:pStyle w:val="TableContents"/>
              <w:bidi w:val="0"/>
              <w:spacing w:before="0" w:after="0"/>
              <w:ind w:left="0" w:right="0" w:hanging="144"/>
              <w:jc w:val="left"/>
              <w:rPr/>
            </w:pPr>
            <w:r>
              <w:rPr/>
              <w:t xml:space="preserve">Net issuance of 70,624 shares to employee and other stock plans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(2,894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(1,680</w:t>
            </w:r>
          </w:p>
        </w:tc>
        <w:tc>
          <w:tcPr>
            <w:tcW w:w="232" w:type="dxa"/>
            <w:tcBorders/>
            <w:shd w:fill="CCEEFF" w:val="clear"/>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144"/>
              <w:jc w:val="left"/>
              <w:rPr/>
            </w:pPr>
            <w:r>
              <w:rPr/>
              <w:t xml:space="preserve">Stock-based compensation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4,240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4,240</w:t>
            </w:r>
          </w:p>
        </w:tc>
        <w:tc>
          <w:tcPr>
            <w:tcW w:w="232" w:type="dxa"/>
            <w:tcBorders/>
            <w:vAlign w:val="center"/>
          </w:tcPr>
          <w:p>
            <w:pPr>
              <w:pStyle w:val="TableContents"/>
              <w:bidi w:val="0"/>
              <w:spacing w:before="0" w:after="283"/>
              <w:jc w:val="left"/>
              <w:rPr/>
            </w:pPr>
            <w:r>
              <w:rPr/>
              <w:t> </w:t>
            </w:r>
          </w:p>
        </w:tc>
      </w:tr>
      <w:tr>
        <w:trPr/>
        <w:tc>
          <w:tcPr>
            <w:tcW w:w="140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comprehensive (loss)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pPr>
            <w:r>
              <w:rPr/>
              <w:t>(6,536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(6,536</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03" w:type="dxa"/>
            <w:tcBorders>
              <w:bottom w:val="double" w:sz="8" w:space="0" w:color="000000"/>
            </w:tcBorders>
            <w:tcMar>
              <w:bottom w:w="28" w:type="dxa"/>
            </w:tcMar>
            <w:vAlign w:val="center"/>
          </w:tcPr>
          <w:p>
            <w:pPr>
              <w:pStyle w:val="TableContents"/>
              <w:bidi w:val="0"/>
              <w:spacing w:before="0" w:after="0"/>
              <w:ind w:left="0" w:right="0" w:hanging="144"/>
              <w:jc w:val="left"/>
              <w:rPr/>
            </w:pPr>
            <w:r>
              <w:rPr>
                <w:b/>
              </w:rPr>
              <w:t>Balance at June 30, 2026</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91"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704" w:type="dxa"/>
            <w:tcBorders>
              <w:bottom w:val="double" w:sz="8" w:space="0" w:color="000000"/>
            </w:tcBorders>
            <w:tcMar>
              <w:bottom w:w="28" w:type="dxa"/>
            </w:tcMar>
            <w:vAlign w:val="center"/>
          </w:tcPr>
          <w:p>
            <w:pPr>
              <w:pStyle w:val="TableContents"/>
              <w:bidi w:val="0"/>
              <w:spacing w:before="0" w:after="283"/>
              <w:jc w:val="right"/>
              <w:rPr>
                <w:b/>
              </w:rPr>
            </w:pPr>
            <w:r>
              <w:rPr>
                <w:b/>
              </w:rPr>
              <w:t>591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92"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38" w:type="dxa"/>
            <w:tcBorders>
              <w:bottom w:val="double" w:sz="8" w:space="0" w:color="000000"/>
            </w:tcBorders>
            <w:tcMar>
              <w:bottom w:w="28" w:type="dxa"/>
            </w:tcMar>
            <w:vAlign w:val="center"/>
          </w:tcPr>
          <w:p>
            <w:pPr>
              <w:pStyle w:val="TableContents"/>
              <w:bidi w:val="0"/>
              <w:spacing w:before="0" w:after="283"/>
              <w:jc w:val="right"/>
              <w:rPr>
                <w:b/>
              </w:rPr>
            </w:pPr>
            <w:r>
              <w:rPr>
                <w:b/>
              </w:rPr>
              <w:t>966,124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1,262,559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58"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382" w:type="dxa"/>
            <w:tcBorders>
              <w:bottom w:val="double" w:sz="8" w:space="0" w:color="000000"/>
            </w:tcBorders>
            <w:tcMar>
              <w:bottom w:w="28" w:type="dxa"/>
            </w:tcMar>
            <w:vAlign w:val="center"/>
          </w:tcPr>
          <w:p>
            <w:pPr>
              <w:pStyle w:val="TableContents"/>
              <w:bidi w:val="0"/>
              <w:spacing w:before="0" w:after="283"/>
              <w:jc w:val="right"/>
              <w:rPr>
                <w:b/>
              </w:rPr>
            </w:pPr>
            <w:r>
              <w:rPr>
                <w:b/>
              </w:rPr>
              <w:t>(89,132</w:t>
            </w:r>
          </w:p>
        </w:tc>
        <w:tc>
          <w:tcPr>
            <w:tcW w:w="185" w:type="dxa"/>
            <w:tcBorders>
              <w:bottom w:val="double" w:sz="8"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double" w:sz="8" w:space="0" w:color="000000"/>
            </w:tcBorders>
            <w:tcMar>
              <w:bottom w:w="28" w:type="dxa"/>
            </w:tcMar>
            <w:vAlign w:val="center"/>
          </w:tcPr>
          <w:p>
            <w:pPr>
              <w:pStyle w:val="TableContents"/>
              <w:bidi w:val="0"/>
              <w:spacing w:before="0" w:after="283"/>
              <w:jc w:val="right"/>
              <w:rPr>
                <w:b/>
              </w:rPr>
            </w:pPr>
            <w:r>
              <w:rPr>
                <w:b/>
              </w:rPr>
              <w:t>(196,223</w:t>
            </w:r>
          </w:p>
        </w:tc>
        <w:tc>
          <w:tcPr>
            <w:tcW w:w="185" w:type="dxa"/>
            <w:tcBorders>
              <w:bottom w:val="double" w:sz="8"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1,943,919</w:t>
            </w:r>
          </w:p>
        </w:tc>
        <w:tc>
          <w:tcPr>
            <w:tcW w:w="232"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4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03"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Balance at December 31, 2024</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04" w:type="dxa"/>
            <w:tcBorders>
              <w:bottom w:val="single" w:sz="12" w:space="0" w:color="000000"/>
            </w:tcBorders>
            <w:tcMar>
              <w:bottom w:w="28" w:type="dxa"/>
            </w:tcMar>
            <w:vAlign w:val="center"/>
          </w:tcPr>
          <w:p>
            <w:pPr>
              <w:pStyle w:val="TableContents"/>
              <w:bidi w:val="0"/>
              <w:spacing w:before="0" w:after="283"/>
              <w:jc w:val="right"/>
              <w:rPr>
                <w:b/>
              </w:rPr>
            </w:pPr>
            <w:r>
              <w:rPr>
                <w:b/>
              </w:rPr>
              <w:t>540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38" w:type="dxa"/>
            <w:tcBorders>
              <w:bottom w:val="single" w:sz="12" w:space="0" w:color="000000"/>
            </w:tcBorders>
            <w:tcMar>
              <w:bottom w:w="28" w:type="dxa"/>
            </w:tcMar>
            <w:vAlign w:val="center"/>
          </w:tcPr>
          <w:p>
            <w:pPr>
              <w:pStyle w:val="TableContents"/>
              <w:bidi w:val="0"/>
              <w:spacing w:before="0" w:after="283"/>
              <w:jc w:val="right"/>
              <w:rPr>
                <w:b/>
              </w:rPr>
            </w:pPr>
            <w:r>
              <w:rPr>
                <w:b/>
              </w:rPr>
              <w:t>742,810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1,100,209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382" w:type="dxa"/>
            <w:tcBorders>
              <w:bottom w:val="single" w:sz="12" w:space="0" w:color="000000"/>
            </w:tcBorders>
            <w:tcMar>
              <w:bottom w:w="28" w:type="dxa"/>
            </w:tcMar>
            <w:vAlign w:val="center"/>
          </w:tcPr>
          <w:p>
            <w:pPr>
              <w:pStyle w:val="TableContents"/>
              <w:bidi w:val="0"/>
              <w:spacing w:before="0" w:after="283"/>
              <w:jc w:val="right"/>
              <w:rPr>
                <w:b/>
              </w:rPr>
            </w:pPr>
            <w:r>
              <w:rPr>
                <w:b/>
              </w:rPr>
              <w:t>(142,098</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(175,320</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1,526,141</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03"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59,255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59,255</w:t>
            </w:r>
          </w:p>
        </w:tc>
        <w:tc>
          <w:tcPr>
            <w:tcW w:w="232" w:type="dxa"/>
            <w:tcBorders/>
            <w:shd w:fill="CCEEFF" w:val="clear"/>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144"/>
              <w:jc w:val="left"/>
              <w:rPr/>
            </w:pPr>
            <w:r>
              <w:rPr/>
              <w:t xml:space="preserve">Cash dividends - $0.68 per share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(33,875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(33,875</w:t>
            </w:r>
          </w:p>
        </w:tc>
        <w:tc>
          <w:tcPr>
            <w:tcW w:w="232" w:type="dxa"/>
            <w:tcBorders/>
            <w:vAlign w:val="center"/>
          </w:tcPr>
          <w:p>
            <w:pPr>
              <w:pStyle w:val="TableContents"/>
              <w:bidi w:val="0"/>
              <w:spacing w:before="0" w:after="283"/>
              <w:jc w:val="left"/>
              <w:rPr/>
            </w:pPr>
            <w:r>
              <w:rPr/>
              <w:t>) </w:t>
            </w:r>
          </w:p>
        </w:tc>
      </w:tr>
      <w:tr>
        <w:trPr/>
        <w:tc>
          <w:tcPr>
            <w:tcW w:w="1403" w:type="dxa"/>
            <w:tcBorders/>
            <w:shd w:fill="CCEEFF" w:val="clear"/>
            <w:vAlign w:val="center"/>
          </w:tcPr>
          <w:p>
            <w:pPr>
              <w:pStyle w:val="TableContents"/>
              <w:bidi w:val="0"/>
              <w:spacing w:before="0" w:after="0"/>
              <w:ind w:left="0" w:right="0" w:hanging="144"/>
              <w:jc w:val="left"/>
              <w:rPr/>
            </w:pPr>
            <w:r>
              <w:rPr/>
              <w:t xml:space="preserve">Issuance of 5,108,663 shares of common stock for acquisition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221,716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221,767</w:t>
            </w:r>
          </w:p>
        </w:tc>
        <w:tc>
          <w:tcPr>
            <w:tcW w:w="232" w:type="dxa"/>
            <w:tcBorders/>
            <w:shd w:fill="CCEEFF" w:val="clear"/>
            <w:vAlign w:val="center"/>
          </w:tcPr>
          <w:p>
            <w:pPr>
              <w:pStyle w:val="TableContents"/>
              <w:bidi w:val="0"/>
              <w:spacing w:before="0" w:after="283"/>
              <w:jc w:val="left"/>
              <w:rPr/>
            </w:pPr>
            <w:r>
              <w:rPr/>
              <w:t> </w:t>
            </w:r>
          </w:p>
        </w:tc>
      </w:tr>
      <w:tr>
        <w:trPr/>
        <w:tc>
          <w:tcPr>
            <w:tcW w:w="1403" w:type="dxa"/>
            <w:tcBorders/>
            <w:vAlign w:val="center"/>
          </w:tcPr>
          <w:p>
            <w:pPr>
              <w:pStyle w:val="TableContents"/>
              <w:bidi w:val="0"/>
              <w:spacing w:before="0" w:after="0"/>
              <w:ind w:left="0" w:right="0" w:hanging="144"/>
              <w:jc w:val="left"/>
              <w:rPr/>
            </w:pPr>
            <w:r>
              <w:rPr/>
              <w:t xml:space="preserve">Net issuance of 74,107 shares to employee and other stock plans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(4,705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(3,779</w:t>
            </w:r>
          </w:p>
        </w:tc>
        <w:tc>
          <w:tcPr>
            <w:tcW w:w="232" w:type="dxa"/>
            <w:tcBorders/>
            <w:vAlign w:val="center"/>
          </w:tcPr>
          <w:p>
            <w:pPr>
              <w:pStyle w:val="TableContents"/>
              <w:bidi w:val="0"/>
              <w:spacing w:before="0" w:after="283"/>
              <w:jc w:val="left"/>
              <w:rPr/>
            </w:pPr>
            <w:r>
              <w:rPr/>
              <w:t>) </w:t>
            </w:r>
          </w:p>
        </w:tc>
      </w:tr>
      <w:tr>
        <w:trPr/>
        <w:tc>
          <w:tcPr>
            <w:tcW w:w="1403" w:type="dxa"/>
            <w:tcBorders/>
            <w:shd w:fill="CCEEFF" w:val="clear"/>
            <w:vAlign w:val="center"/>
          </w:tcPr>
          <w:p>
            <w:pPr>
              <w:pStyle w:val="TableContents"/>
              <w:bidi w:val="0"/>
              <w:spacing w:before="0" w:after="0"/>
              <w:ind w:left="0" w:right="0" w:hanging="144"/>
              <w:jc w:val="left"/>
              <w:rPr/>
            </w:pPr>
            <w:r>
              <w:rPr/>
              <w:t xml:space="preserve">Stock-based compensation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3,047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3,047</w:t>
            </w:r>
          </w:p>
        </w:tc>
        <w:tc>
          <w:tcPr>
            <w:tcW w:w="232" w:type="dxa"/>
            <w:tcBorders/>
            <w:shd w:fill="CCEEFF" w:val="clear"/>
            <w:vAlign w:val="center"/>
          </w:tcPr>
          <w:p>
            <w:pPr>
              <w:pStyle w:val="TableContents"/>
              <w:bidi w:val="0"/>
              <w:spacing w:before="0" w:after="283"/>
              <w:jc w:val="left"/>
              <w:rPr/>
            </w:pPr>
            <w:r>
              <w:rPr/>
              <w:t> </w:t>
            </w:r>
          </w:p>
        </w:tc>
      </w:tr>
      <w:tr>
        <w:trPr/>
        <w:tc>
          <w:tcPr>
            <w:tcW w:w="1403"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comprehensive income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1"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tcMar>
              <w:bottom w:w="28" w:type="dxa"/>
            </w:tcMar>
            <w:vAlign w:val="center"/>
          </w:tcPr>
          <w:p>
            <w:pPr>
              <w:pStyle w:val="TableContents"/>
              <w:bidi w:val="0"/>
              <w:spacing w:before="0" w:after="283"/>
              <w:jc w:val="right"/>
              <w:rPr/>
            </w:pPr>
            <w:r>
              <w:rPr/>
              <w:t>32,610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32,610</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03"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b/>
              </w:rPr>
              <w:t>Balance at June 30, 2025</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9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04"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591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962,868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1,125,589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58"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8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(109,488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(174,394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1,805,166</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See accompanying notes to unaudited interim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bookmarkStart w:id="10" w:name="Cash_Flows"/>
      <w:bookmarkEnd w:id="10"/>
      <w:r>
        <w:rPr>
          <w:rFonts w:ascii="TimesNewRoman;Times New Roman;Times;Baskerville;Georgia;serif" w:hAnsi="TimesNewRoman;Times New Roman;Times;Baskerville;Georgia;serif"/>
          <w:b/>
          <w:color w:val="000000"/>
          <w:sz w:val="20"/>
        </w:rPr>
        <w:t>Consolidated Statements of Cash Flows (unaudited)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460"/>
        <w:gridCol w:w="90"/>
        <w:gridCol w:w="170"/>
        <w:gridCol w:w="905"/>
        <w:gridCol w:w="185"/>
        <w:gridCol w:w="90"/>
        <w:gridCol w:w="170"/>
        <w:gridCol w:w="905"/>
        <w:gridCol w:w="230"/>
      </w:tblGrid>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425" w:type="dxa"/>
            <w:gridSpan w:val="6"/>
            <w:tcBorders/>
            <w:vAlign w:val="center"/>
          </w:tcPr>
          <w:p>
            <w:pPr>
              <w:pStyle w:val="TableContents"/>
              <w:bidi w:val="0"/>
              <w:spacing w:before="0" w:after="283"/>
              <w:jc w:val="center"/>
              <w:rPr/>
            </w:pPr>
            <w:r>
              <w:rPr>
                <w:b/>
              </w:rPr>
              <w:t>Six Months Ended</w:t>
            </w:r>
            <w:r>
              <w:rPr/>
              <w:t xml:space="preserve">  </w:t>
            </w:r>
          </w:p>
        </w:tc>
        <w:tc>
          <w:tcPr>
            <w:tcW w:w="230" w:type="dxa"/>
            <w:tcBorders/>
            <w:vAlign w:val="center"/>
          </w:tcPr>
          <w:p>
            <w:pPr>
              <w:pStyle w:val="TableContents"/>
              <w:bidi w:val="0"/>
              <w:spacing w:before="0" w:after="283"/>
              <w:jc w:val="center"/>
              <w:rPr/>
            </w:pPr>
            <w:r>
              <w:rPr/>
              <w:t> </w:t>
            </w:r>
          </w:p>
        </w:tc>
      </w:tr>
      <w:tr>
        <w:trPr/>
        <w:tc>
          <w:tcPr>
            <w:tcW w:w="7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425" w:type="dxa"/>
            <w:gridSpan w:val="6"/>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46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460" w:type="dxa"/>
            <w:tcBorders/>
            <w:vAlign w:val="center"/>
          </w:tcPr>
          <w:p>
            <w:pPr>
              <w:pStyle w:val="TableContents"/>
              <w:bidi w:val="0"/>
              <w:spacing w:before="0" w:after="0"/>
              <w:ind w:left="0" w:right="0" w:hanging="144"/>
              <w:jc w:val="left"/>
              <w:rPr/>
            </w:pPr>
            <w:r>
              <w:rPr>
                <w:b/>
                <w:i/>
              </w:rPr>
              <w:t>Operating activities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104,172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59,255</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b/>
                <w:i/>
              </w:rPr>
              <w:t>Adjustments to reconcile net income to net cash provided by operating activities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Provision for loan losses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11,713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25,389</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Depreciation and amortization of premises and equipment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6,953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6,193</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amortization on securities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917</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Amortization of intangible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6,539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5,153</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Amortization of operating lease right-of-use assets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4,578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4,088</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Excess tax benefit on stock-based compensation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(201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(419</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Stock-based compensation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4,240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3,047</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Bank owned life insurance income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(5,164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(5,577</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Amortization of subordinated debt issuance costs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199</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Proceeds from sale of loans held for sale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2,989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173,409</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Originations of loans held for sale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(1,802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(167,816</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Net gains on sale of loans held for sale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(79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(313</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securities (gains)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(617</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Net gains on sale of other real estate owned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(99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(83</w:t>
            </w:r>
          </w:p>
        </w:tc>
        <w:tc>
          <w:tcPr>
            <w:tcW w:w="230" w:type="dxa"/>
            <w:tcBorders/>
            <w:vAlign w:val="center"/>
          </w:tcPr>
          <w:p>
            <w:pPr>
              <w:pStyle w:val="TableContents"/>
              <w:bidi w:val="0"/>
              <w:spacing w:before="0" w:after="283"/>
              <w:jc w:val="left"/>
              <w:rPr/>
            </w:pPr>
            <w:r>
              <w:rPr/>
              <w:t>) </w:t>
            </w:r>
          </w:p>
        </w:tc>
      </w:tr>
      <w:tr>
        <w:trPr/>
        <w:tc>
          <w:tcPr>
            <w:tcW w:w="746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Net change in other assets and other liabilities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(18,511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(14,952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460" w:type="dxa"/>
            <w:tcBorders>
              <w:bottom w:val="single" w:sz="12" w:space="0" w:color="000000"/>
            </w:tcBorders>
            <w:tcMar>
              <w:bottom w:w="28" w:type="dxa"/>
            </w:tcMar>
            <w:vAlign w:val="center"/>
          </w:tcPr>
          <w:p>
            <w:pPr>
              <w:pStyle w:val="TableContents"/>
              <w:bidi w:val="0"/>
              <w:spacing w:before="0" w:after="0"/>
              <w:jc w:val="left"/>
              <w:rPr/>
            </w:pPr>
            <w:r>
              <w:rPr/>
              <w:t xml:space="preserve">Net cash provided by operating activities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114,926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88,482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b/>
                <w:i/>
              </w:rPr>
              <w:t>Investing activities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Net cash (used in) provided by acquisitions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05" w:type="dxa"/>
            <w:tcBorders/>
            <w:vAlign w:val="center"/>
          </w:tcPr>
          <w:p>
            <w:pPr>
              <w:pStyle w:val="TableContents"/>
              <w:bidi w:val="0"/>
              <w:spacing w:before="0" w:after="283"/>
              <w:jc w:val="right"/>
              <w:rPr>
                <w:b/>
              </w:rPr>
            </w:pPr>
            <w:r>
              <w:rPr>
                <w:b/>
              </w:rPr>
              <w:t>(488</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38,597</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i/>
              </w:rPr>
              <w:t>Securities available for sale: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Proceeds from maturities, calls and principal paydowns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143,690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90,172</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Proceeds from sales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254,468</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Purchases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(295,464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(202,260</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i/>
              </w:rPr>
              <w:t>Securities held to maturity: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Proceeds from maturities, calls and principal paydowns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80,423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81,258</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Purchases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(73,341</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(45,167</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i/>
              </w:rPr>
              <w:t>Equity securities: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Proceeds from sales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491</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i/>
              </w:rPr>
              <w:t>Other:</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(increase) in loans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(285,090</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(483</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Proceeds from Federal Reserve and Federal Home Loan Bank stock redemption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11,507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30,216</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Purchases of Federal Reserve and Federal Home Loan Bank stock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(18,472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(26,991</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Proceeds from settlement of bank owned life insurance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8,091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4,330</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Purchases of premises and equipment,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(5,783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(6,031</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Proceeds from sales of other real estate owned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411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135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6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Net cash (used in) provided by investing activities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(434,516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218,735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b/>
                <w:i/>
              </w:rPr>
              <w:t>Financing activities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Net increase in deposits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38,109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104,422</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Net increase (decrease) in short-term borrowings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168,369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(92,972</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Redemption of subordinated debt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(25,000</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Repayments of long-term debt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(55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(25,078</w:t>
            </w:r>
          </w:p>
        </w:tc>
        <w:tc>
          <w:tcPr>
            <w:tcW w:w="230" w:type="dxa"/>
            <w:tcBorders/>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ind w:left="0" w:right="0" w:hanging="144"/>
              <w:jc w:val="left"/>
              <w:rPr/>
            </w:pPr>
            <w:r>
              <w:rPr/>
              <w:t xml:space="preserve">Cash paid by employer for tax-withholding on stock issuance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(1,803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(2,207</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0"/>
              <w:ind w:left="0" w:right="0" w:hanging="144"/>
              <w:jc w:val="left"/>
              <w:rPr/>
            </w:pPr>
            <w:r>
              <w:rPr/>
              <w:t xml:space="preserve">Purchase of treasury stock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(14,030</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xml:space="preserve">- </w:t>
            </w:r>
          </w:p>
        </w:tc>
        <w:tc>
          <w:tcPr>
            <w:tcW w:w="230" w:type="dxa"/>
            <w:tcBorders/>
            <w:vAlign w:val="center"/>
          </w:tcPr>
          <w:p>
            <w:pPr>
              <w:pStyle w:val="TableContents"/>
              <w:bidi w:val="0"/>
              <w:spacing w:before="0" w:after="283"/>
              <w:jc w:val="left"/>
              <w:rPr/>
            </w:pPr>
            <w:r>
              <w:rPr/>
              <w:t> </w:t>
            </w:r>
          </w:p>
        </w:tc>
      </w:tr>
      <w:tr>
        <w:trPr/>
        <w:tc>
          <w:tcPr>
            <w:tcW w:w="746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Cash dividends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(38,463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(33,875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460" w:type="dxa"/>
            <w:tcBorders>
              <w:bottom w:val="single" w:sz="12" w:space="0" w:color="000000"/>
            </w:tcBorders>
            <w:tcMar>
              <w:bottom w:w="28" w:type="dxa"/>
            </w:tcMar>
            <w:vAlign w:val="center"/>
          </w:tcPr>
          <w:p>
            <w:pPr>
              <w:pStyle w:val="TableContents"/>
              <w:bidi w:val="0"/>
              <w:spacing w:before="0" w:after="0"/>
              <w:jc w:val="left"/>
              <w:rPr/>
            </w:pPr>
            <w:r>
              <w:rPr/>
              <w:t xml:space="preserve">Net cash provided by (used in) financing activities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127,127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(49,710</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60" w:type="dxa"/>
            <w:tcBorders/>
            <w:shd w:fill="CCEEFF" w:val="clear"/>
            <w:vAlign w:val="center"/>
          </w:tcPr>
          <w:p>
            <w:pPr>
              <w:pStyle w:val="TableContents"/>
              <w:bidi w:val="0"/>
              <w:spacing w:before="0" w:after="0"/>
              <w:jc w:val="left"/>
              <w:rPr/>
            </w:pPr>
            <w:r>
              <w:rPr/>
              <w:t xml:space="preserve">Net (decrease) increase in cash and cash equivalents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(192,463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257,507</w:t>
            </w:r>
          </w:p>
        </w:tc>
        <w:tc>
          <w:tcPr>
            <w:tcW w:w="230" w:type="dxa"/>
            <w:tcBorders/>
            <w:shd w:fill="CCEEFF" w:val="clear"/>
            <w:vAlign w:val="center"/>
          </w:tcPr>
          <w:p>
            <w:pPr>
              <w:pStyle w:val="TableContents"/>
              <w:bidi w:val="0"/>
              <w:spacing w:before="0" w:after="283"/>
              <w:jc w:val="left"/>
              <w:rPr/>
            </w:pPr>
            <w:r>
              <w:rPr/>
              <w:t> </w:t>
            </w:r>
          </w:p>
        </w:tc>
      </w:tr>
      <w:tr>
        <w:trPr/>
        <w:tc>
          <w:tcPr>
            <w:tcW w:w="7460" w:type="dxa"/>
            <w:tcBorders>
              <w:bottom w:val="single" w:sz="12" w:space="0" w:color="000000"/>
            </w:tcBorders>
            <w:tcMar>
              <w:bottom w:w="28" w:type="dxa"/>
            </w:tcMar>
            <w:vAlign w:val="center"/>
          </w:tcPr>
          <w:p>
            <w:pPr>
              <w:pStyle w:val="TableContents"/>
              <w:bidi w:val="0"/>
              <w:spacing w:before="0" w:after="0"/>
              <w:jc w:val="left"/>
              <w:rPr/>
            </w:pPr>
            <w:r>
              <w:rPr/>
              <w:t xml:space="preserve">Cash and cash equivalents at beginning of period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487,116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284,056</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6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Cash and cash equivalents at end of period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294,653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541,563</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Consolidated Statements of Cash Flows (unaudited) (continued)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tbl>
      <w:tblPr>
        <w:tblW w:w="9085" w:type="dxa"/>
        <w:jc w:val="left"/>
        <w:tblInd w:w="0" w:type="dxa"/>
        <w:tblLayout w:type="fixed"/>
        <w:tblCellMar>
          <w:top w:w="0" w:type="dxa"/>
          <w:left w:w="0" w:type="dxa"/>
          <w:bottom w:w="0" w:type="dxa"/>
          <w:right w:w="0" w:type="dxa"/>
        </w:tblCellMar>
      </w:tblPr>
      <w:tblGrid>
        <w:gridCol w:w="6500"/>
        <w:gridCol w:w="90"/>
        <w:gridCol w:w="170"/>
        <w:gridCol w:w="830"/>
        <w:gridCol w:w="90"/>
        <w:gridCol w:w="90"/>
        <w:gridCol w:w="170"/>
        <w:gridCol w:w="1010"/>
        <w:gridCol w:w="135"/>
      </w:tblGrid>
      <w:tr>
        <w:trPr/>
        <w:tc>
          <w:tcPr>
            <w:tcW w:w="6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60" w:type="dxa"/>
            <w:gridSpan w:val="6"/>
            <w:tcBorders/>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center"/>
              <w:rPr/>
            </w:pPr>
            <w:r>
              <w:rPr/>
              <w:t> </w:t>
            </w:r>
          </w:p>
        </w:tc>
      </w:tr>
      <w:tr>
        <w:trPr/>
        <w:tc>
          <w:tcPr>
            <w:tcW w:w="6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65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6500" w:type="dxa"/>
            <w:tcBorders/>
            <w:vAlign w:val="center"/>
          </w:tcPr>
          <w:p>
            <w:pPr>
              <w:pStyle w:val="TableContents"/>
              <w:bidi w:val="0"/>
              <w:spacing w:before="0" w:after="0"/>
              <w:ind w:left="0" w:right="0" w:hanging="144"/>
              <w:jc w:val="left"/>
              <w:rPr/>
            </w:pPr>
            <w:r>
              <w:rPr>
                <w:b/>
                <w:i/>
              </w:rPr>
              <w:t>Supplemental disclosure of cash flow information</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0"/>
              <w:ind w:left="0" w:right="0" w:hanging="144"/>
              <w:jc w:val="left"/>
              <w:rPr/>
            </w:pPr>
            <w:r>
              <w:rPr>
                <w:i/>
              </w:rPr>
              <w:t>Cash paid during the period for:</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0"/>
              <w:ind w:left="0" w:right="0" w:hanging="144"/>
              <w:jc w:val="left"/>
              <w:rPr/>
            </w:pPr>
            <w:r>
              <w:rPr/>
              <w:t xml:space="preserve">Interest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100,357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99,802</w:t>
            </w:r>
          </w:p>
        </w:tc>
        <w:tc>
          <w:tcPr>
            <w:tcW w:w="135"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0"/>
              <w:ind w:left="0" w:right="0" w:hanging="144"/>
              <w:jc w:val="left"/>
              <w:rPr/>
            </w:pPr>
            <w:r>
              <w:rPr/>
              <w:t xml:space="preserve">Income taxes paid, net of refund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19,959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16,325</w:t>
            </w:r>
          </w:p>
        </w:tc>
        <w:tc>
          <w:tcPr>
            <w:tcW w:w="135"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0"/>
              <w:ind w:left="0" w:right="0" w:hanging="144"/>
              <w:jc w:val="left"/>
              <w:rPr/>
            </w:pPr>
            <w:r>
              <w:rPr>
                <w:i/>
              </w:rPr>
              <w:t>Noncash investing activities: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0"/>
              <w:ind w:left="0" w:right="0" w:hanging="144"/>
              <w:jc w:val="left"/>
              <w:rPr/>
            </w:pPr>
            <w:r>
              <w:rPr/>
              <w:t xml:space="preserve">Loans transferred to other real estate owned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215</w:t>
            </w:r>
          </w:p>
        </w:tc>
        <w:tc>
          <w:tcPr>
            <w:tcW w:w="135"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0"/>
              <w:ind w:left="0" w:right="0" w:hanging="144"/>
              <w:jc w:val="left"/>
              <w:rPr/>
            </w:pPr>
            <w:r>
              <w:rPr>
                <w:i/>
              </w:rPr>
              <w:t>Acquisitions: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0"/>
              <w:ind w:left="0" w:right="0" w:hanging="144"/>
              <w:jc w:val="left"/>
              <w:rPr/>
            </w:pPr>
            <w:r>
              <w:rPr/>
              <w:t xml:space="preserve">Fair value of assets acquired, excluding acquired cash and goodwill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2,087,439</w:t>
            </w:r>
          </w:p>
        </w:tc>
        <w:tc>
          <w:tcPr>
            <w:tcW w:w="135"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0"/>
              <w:ind w:left="0" w:right="0" w:hanging="144"/>
              <w:jc w:val="left"/>
              <w:rPr/>
            </w:pPr>
            <w:r>
              <w:rPr/>
              <w:t xml:space="preserve">Fair value of liabilities assumed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1,997,253</w:t>
            </w:r>
          </w:p>
        </w:tc>
        <w:tc>
          <w:tcPr>
            <w:tcW w:w="135"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0"/>
              <w:ind w:left="0" w:right="0" w:hanging="144"/>
              <w:jc w:val="left"/>
              <w:rPr/>
            </w:pPr>
            <w:r>
              <w:rPr/>
              <w:t xml:space="preserve">Common stock issued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221,767</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See accompanying notes to unaudited interim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color w:val="000000"/>
        </w:rPr>
        <w:t> </w:t>
      </w: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rFonts w:ascii="TimesNewRoman;Times New Roman;Times;Baskerville;Georgia;serif" w:hAnsi="TimesNewRoman;Times New Roman;Times;Baskerville;Georgia;serif"/>
          <w:sz w:val="20"/>
        </w:rPr>
      </w:pPr>
      <w:bookmarkStart w:id="11" w:name="Notes"/>
      <w:bookmarkEnd w:id="11"/>
      <w:r>
        <w:rPr>
          <w:rFonts w:ascii="TimesNewRoman;Times New Roman;Times;Baskerville;Georgia;serif" w:hAnsi="TimesNewRoman;Times New Roman;Times;Baskerville;Georgia;serif"/>
          <w:b/>
          <w:color w:val="000000"/>
          <w:sz w:val="20"/>
        </w:rPr>
        <w:t>Notes to Unaudited Interim Consolidated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June 30, 2026</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1. Description of Business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NBT Bancorp Inc. is a registered financial holding company incorporated in the state of Delaware in 1986, with its principal headquarters located in Norwich, New York. The principal assets of NBT Bancorp Inc. consist of all of the outstanding shares of common stock of its subsidiaries, including: NBT Bank, National Association (the “Bank”), NBT Financial Services, Inc. (“NBT Financial”), NBT Holdings, Inc. (“NBT Holdings”), CNBF Capital Trust I, NBT Statutory Trust I, NBT Statutory Trust II, Alliance Financial Capital Trust I, Alliance Financial Capital Trust II and Evans Capital Trust I (collectively, the “Trusts”). The principal sources of revenue for NBT Bancorp Inc. are the management fees and dividends it receives from the Bank, NBT Financial and NBT Holdings. Collectively, NBT Bancorp Inc. and its subsidiaries are referred to herein as (the “Company”).</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The Company’s business, primarily conducted through the Bank, consists of providing commercial banking, retail banking and wealth management services primarily to customers in its market area, which includes upstate New York, northeastern Pennsylvania, southern New Hampshire, western Massachusetts, Vermont, southern Maine and central and northwestern Connecticut. The Company has been, and intends to remain, a community-oriented financial institution offering a variety of financial services. The Company’s business philosophy is to operate as a community bank with local decision-making, providing a broad array of banking and financial services to retail, commercial and municipal customers.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2. Summary of Significant Accounting Policies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color w:val="000000"/>
          <w:sz w:val="20"/>
        </w:rPr>
        <w:t>Basis of Presentation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The accompanying unaudited interim consolidated financial statements include the accounts of NBT Bancorp Inc. and its wholly-owned subsidiaries mentioned above. In the opinion of management, the interim data includes all adjustments, consisting only of normal recurring adjustments, necessary for a fair presentation of the results for the interim periods in accordance with U.S. generally accepted accounting principles (“GAAP”) and in accordance with the instructions for the Quarterly Report on Form 10-Q and Article 10 of Regulation S-X as promulgated by the Securities and Exchange Commission (“SEC”). Accordingly, the consolidated financial statements do not include all of the information and notes necessary for complete financial statements in conformity with GAAP. These unaudited interim consolidated financial statements should be read in conjunction with the audited consolidated financial statements and notes thereto included in the Company’s 2025 Annual Report on Form 10-K. The results of operations for the interim periods are not necessarily indicative of the results that may be expected for the full year or any other interim period. All material intercompany transactions have been eliminated in consolidation. Amounts previously reported in the consolidated financial statements are reclassified whenever necessary to conform to current period presentation. The Company has evaluated subsequent events for potential recognition and/or disclosure, and none were identified.</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color w:val="000000"/>
          <w:sz w:val="20"/>
        </w:rPr>
        <w:t>Use of Estimates in the Preparation of Financial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 Estimates associated with the allowance for credit losses are particularly susceptible to material changes in the near term.</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color w:val="000000"/>
          <w:sz w:val="20"/>
        </w:rPr>
        <w:t>3. Recent Accounting Pronouncements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Recently Adopted Accounting Standards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November 2025, the Financial Accounting Standards Board (“FASB”) issued Accounting Standards Update (“ASU”) 2025-08, </w:t>
      </w:r>
      <w:r>
        <w:rPr>
          <w:rFonts w:ascii="TimesNewRoman;Times New Roman;Times;Baskerville;Georgia;serif" w:hAnsi="TimesNewRoman;Times New Roman;Times;Baskerville;Georgia;serif"/>
          <w:i/>
          <w:sz w:val="20"/>
        </w:rPr>
        <w:t>Financial Instruments-Credit Losses (Topic 326): Purchased Loans</w:t>
      </w:r>
      <w:r>
        <w:rPr>
          <w:rFonts w:ascii="TimesNewRoman;Times New Roman;Times;Baskerville;Georgia;serif" w:hAnsi="TimesNewRoman;Times New Roman;Times;Baskerville;Georgia;serif"/>
          <w:sz w:val="20"/>
        </w:rPr>
        <w:t xml:space="preserve">. The ASU expands the population of acquired financial assets subject to the gross-up approach in Topic 326, Financial Instrument-Credit Losses. In accordance with the amendments in this update, loans acquired without credit deterioration and deemed seasoned are purchased seasoned loans and accounted for using the gross-up approach at acquisition. The amendments apply prospectively and will be effective for fiscal periods beginning after December 15, 2026. The Company elected to early-adopt the ASU as of January 1, 2026. </w:t>
      </w:r>
    </w:p>
    <w:p>
      <w:pPr>
        <w:pStyle w:val="TextBody"/>
        <w:bidi w:val="0"/>
        <w:spacing w:before="0" w:after="0"/>
        <w:jc w:val="left"/>
        <w:rPr/>
      </w:pPr>
      <w:r>
        <w:rPr/>
        <w:t>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Accounting Standards Issued Not Yet Adopted</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November 2024, the FASB issued ASU 2024-03, </w:t>
      </w:r>
      <w:r>
        <w:rPr>
          <w:rFonts w:ascii="TimesNewRoman;Times New Roman;Times;Baskerville;Georgia;serif" w:hAnsi="TimesNewRoman;Times New Roman;Times;Baskerville;Georgia;serif"/>
          <w:i/>
          <w:sz w:val="20"/>
        </w:rPr>
        <w:t>Income Statement-Reporting Comprehensive Income-Expense Disaggregation Disclosures (Subtopic 220-40): Disaggregation of Income Statement Expenses</w:t>
      </w:r>
      <w:r>
        <w:rPr>
          <w:rFonts w:ascii="TimesNewRoman;Times New Roman;Times;Baskerville;Georgia;serif" w:hAnsi="TimesNewRoman;Times New Roman;Times;Baskerville;Georgia;serif"/>
          <w:sz w:val="20"/>
        </w:rPr>
        <w:t xml:space="preserve">, that addresses longstanding investor requests for more information regarding expenses included in the expense captions presented on the face of the income statement. The ASU will require a tabular disclosure that disaggregates certain income statement expenses including employee compensation, depreciation and intangible asset amortization. In January 2025, the FASB issued ASU 2025-01, </w:t>
      </w:r>
      <w:r>
        <w:rPr>
          <w:rFonts w:ascii="TimesNewRoman;Times New Roman;Times;Baskerville;Georgia;serif" w:hAnsi="TimesNewRoman;Times New Roman;Times;Baskerville;Georgia;serif"/>
          <w:i/>
          <w:sz w:val="20"/>
        </w:rPr>
        <w:t>Income Statement-Reporting Comprehensive Income-Expense Disaggregation Disclosures (Subtopic 220-40): Clarifying the Effective Date,</w:t>
      </w:r>
      <w:r>
        <w:rPr>
          <w:rFonts w:ascii="TimesNewRoman;Times New Roman;Times;Baskerville;Georgia;serif" w:hAnsi="TimesNewRoman;Times New Roman;Times;Baskerville;Georgia;serif"/>
          <w:sz w:val="20"/>
        </w:rPr>
        <w:t xml:space="preserve"> which revises the effective date of ASU 2024-03. The ASU will become effective in the annual reporting periods beginning after December 15, 2026, and early adoption is permitted. Aside from complying with the new disclosure requirements, the adoption is not expected to have a material impact on the consolidated financial statements.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December 2025, the FASB issued ASU 2025-11, </w:t>
      </w:r>
      <w:r>
        <w:rPr>
          <w:rFonts w:ascii="TimesNewRoman;Times New Roman;Times;Baskerville;Georgia;serif" w:hAnsi="TimesNewRoman;Times New Roman;Times;Baskerville;Georgia;serif"/>
          <w:i/>
          <w:sz w:val="20"/>
        </w:rPr>
        <w:t>Interim Reporting (Topic 270): Narrow-Scope Improvements</w:t>
      </w:r>
      <w:r>
        <w:rPr>
          <w:rFonts w:ascii="TimesNewRoman;Times New Roman;Times;Baskerville;Georgia;serif" w:hAnsi="TimesNewRoman;Times New Roman;Times;Baskerville;Georgia;serif"/>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Aside from complying with the new disclosure requirements, the adoption is not expected to have a material impact on the consolidated financial statements.</w:t>
      </w:r>
      <w:r>
        <w:rPr>
          <w:rFonts w:ascii="TimesNewRoman;Times New Roman;Times;Baskerville;Georgia;serif" w:hAnsi="TimesNewRoman;Times New Roman;Times;Baskerville;Georgia;serif"/>
          <w:color w:val="000000"/>
          <w:sz w:val="20"/>
        </w:rPr>
        <w:t> </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4. Acquisitions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Evans Bancorp,</w:t>
      </w:r>
      <w:r>
        <w:rPr>
          <w:rFonts w:ascii="TimesNewRoman;Times New Roman;Times;Baskerville;Georgia;serif" w:hAnsi="TimesNewRoman;Times New Roman;Times;Baskerville;Georgia;serif"/>
          <w:sz w:val="20"/>
        </w:rPr>
        <w:t> </w:t>
      </w:r>
      <w:r>
        <w:rPr>
          <w:rFonts w:ascii="TimesNewRoman;Times New Roman;Times;Baskerville;Georgia;serif" w:hAnsi="TimesNewRoman;Times New Roman;Times;Baskerville;Georgia;serif"/>
          <w:b/>
          <w:i/>
          <w:sz w:val="20"/>
        </w:rPr>
        <w:t>Inc.</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May 2, 2025, the Company completed the acquisition of Evans Bancorp, Inc. (“Evans”) through the merger of Evans with and into the Company, with the Company surviving the merger. Total consideration for the acquisition was $221.8 million in common stock. Evans, with assets of $2.19 billion at December 31, 2024, was headquartered in Williamsville, New York. Its primary subsidiary, Evans Bank, National Association (“Evans Bank”), was a federally-chartered national banking association operating 18 banking locations in Western New York. The acquisition enhances the Company’s presence in Western New York, including the Buffalo and Rochester communities. In connection with the acquisition, the Company issued 5.1 million shares of common stock and acquired approximately $131.2 million of identifiable net assets. Preliminary goodwill of $91.4 million was recognized as a result of the merger and is not amortizable or deductible for tax purposes. During the fourth quarter of 2025, the Company revised the accrued income taxes and deferred taxes associated with the Evans acquisition, which resulted in a $0.8 million decrease in goodwill. Total goodwill of $90.6 million was recognized as a result of the merger. The effects of the acquired assets and liabilities have been included in the consolidated financial statements since May 2, 2025. As a result of the full integration of the operations of Evans, it is not practicable to determine all revenue or net income included in the Company’s operating results relating to Evans since the date of acquisition as Evans results cannot be separately identified.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acquisition of Evans is being accounted for as a business combination in accordance with Accounting Standards Codification (“ASC”) 805, “Business Combinations” (“ASC 805”), using the acquisition method of accounting. Accordingly, as of the date of the acquisition, the Company recorded the assets acquired, liabilities assumed and consideration paid at fair value based on management’s best estimates using information available at the date of the acquisition. These estimates were subject to adjustment based on updated information not available at the time of the acquisition and all amounts have now been finalized. The amount of goodwill arising from the acquisition consists largely of the synergies and economies of scale expected from combining the operations of the Company with Evans.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summarizes the estimated fair value of the assets acquired and liabilities assumed: </w:t>
      </w:r>
    </w:p>
    <w:p>
      <w:pPr>
        <w:pStyle w:val="TextBody"/>
        <w:bidi w:val="0"/>
        <w:spacing w:before="0" w:after="0"/>
        <w:jc w:val="both"/>
        <w:rPr/>
      </w:pPr>
      <w:r>
        <w:rPr/>
        <w:t xml:space="preserve">  </w:t>
      </w:r>
    </w:p>
    <w:tbl>
      <w:tblPr>
        <w:tblW w:w="10064" w:type="dxa"/>
        <w:jc w:val="left"/>
        <w:tblInd w:w="0" w:type="dxa"/>
        <w:tblLayout w:type="fixed"/>
        <w:tblCellMar>
          <w:top w:w="0" w:type="dxa"/>
          <w:left w:w="0" w:type="dxa"/>
          <w:bottom w:w="0" w:type="dxa"/>
          <w:right w:w="0" w:type="dxa"/>
        </w:tblCellMar>
      </w:tblPr>
      <w:tblGrid>
        <w:gridCol w:w="7550"/>
        <w:gridCol w:w="90"/>
        <w:gridCol w:w="296"/>
        <w:gridCol w:w="1898"/>
        <w:gridCol w:w="230"/>
      </w:tblGrid>
      <w:tr>
        <w:trPr/>
        <w:tc>
          <w:tcPr>
            <w:tcW w:w="7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194" w:type="dxa"/>
            <w:gridSpan w:val="2"/>
            <w:tcBorders>
              <w:bottom w:val="single" w:sz="12" w:space="0" w:color="000000"/>
            </w:tcBorders>
            <w:tcMar>
              <w:bottom w:w="28" w:type="dxa"/>
            </w:tcMar>
            <w:vAlign w:val="center"/>
          </w:tcPr>
          <w:p>
            <w:pPr>
              <w:pStyle w:val="TableContents"/>
              <w:bidi w:val="0"/>
              <w:spacing w:before="0" w:after="283"/>
              <w:jc w:val="center"/>
              <w:rPr/>
            </w:pPr>
            <w:r>
              <w:rPr>
                <w:b/>
              </w:rPr>
              <w:t>May 2, 2025</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55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194" w:type="dxa"/>
            <w:gridSpan w:val="2"/>
            <w:tcBorders>
              <w:bottom w:val="single" w:sz="12" w:space="0" w:color="000000"/>
            </w:tcBorders>
            <w:tcMar>
              <w:bottom w:w="28" w:type="dxa"/>
            </w:tcMar>
            <w:vAlign w:val="center"/>
          </w:tcPr>
          <w:p>
            <w:pPr>
              <w:pStyle w:val="TableContents"/>
              <w:bidi w:val="0"/>
              <w:spacing w:before="0" w:after="283"/>
              <w:jc w:val="center"/>
              <w:rPr/>
            </w:pPr>
            <w:r>
              <w:rPr>
                <w:b/>
              </w:rPr>
              <w:t>Evans Bancorp, Inc.</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550" w:type="dxa"/>
            <w:tcBorders/>
            <w:vAlign w:val="center"/>
          </w:tcPr>
          <w:p>
            <w:pPr>
              <w:pStyle w:val="TableContents"/>
              <w:bidi w:val="0"/>
              <w:spacing w:before="0" w:after="0"/>
              <w:ind w:left="0" w:right="0" w:hanging="144"/>
              <w:jc w:val="left"/>
              <w:rPr/>
            </w:pPr>
            <w:r>
              <w:rPr/>
              <w:t xml:space="preserve">Consideration: </w:t>
            </w:r>
          </w:p>
        </w:tc>
        <w:tc>
          <w:tcPr>
            <w:tcW w:w="90" w:type="dxa"/>
            <w:tcBorders/>
            <w:vAlign w:val="center"/>
          </w:tcPr>
          <w:p>
            <w:pPr>
              <w:pStyle w:val="TableContents"/>
              <w:bidi w:val="0"/>
              <w:spacing w:before="0" w:after="283"/>
              <w:jc w:val="center"/>
              <w:rPr/>
            </w:pPr>
            <w:r>
              <w:rPr/>
              <w:t> </w:t>
            </w:r>
          </w:p>
        </w:tc>
        <w:tc>
          <w:tcPr>
            <w:tcW w:w="296" w:type="dxa"/>
            <w:tcBorders/>
            <w:vAlign w:val="center"/>
          </w:tcPr>
          <w:p>
            <w:pPr>
              <w:pStyle w:val="TableContents"/>
              <w:bidi w:val="0"/>
              <w:spacing w:before="0" w:after="283"/>
              <w:jc w:val="center"/>
              <w:rPr/>
            </w:pPr>
            <w:r>
              <w:rPr/>
              <w:t> </w:t>
            </w:r>
          </w:p>
        </w:tc>
        <w:tc>
          <w:tcPr>
            <w:tcW w:w="1898"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7550" w:type="dxa"/>
            <w:tcBorders/>
            <w:shd w:fill="CCEEFF" w:val="clear"/>
            <w:vAlign w:val="center"/>
          </w:tcPr>
          <w:p>
            <w:pPr>
              <w:pStyle w:val="TableContents"/>
              <w:bidi w:val="0"/>
              <w:spacing w:before="0" w:after="0"/>
              <w:ind w:left="0" w:right="0" w:hanging="144"/>
              <w:jc w:val="left"/>
              <w:rPr/>
            </w:pPr>
            <w:r>
              <w:rPr/>
              <w:t xml:space="preserve">Cash paid to shareholders (fractional shares) </w:t>
            </w:r>
          </w:p>
        </w:tc>
        <w:tc>
          <w:tcPr>
            <w:tcW w:w="90"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w:t>
            </w:r>
          </w:p>
        </w:tc>
        <w:tc>
          <w:tcPr>
            <w:tcW w:w="1898" w:type="dxa"/>
            <w:tcBorders/>
            <w:shd w:fill="CCEEFF" w:val="cle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Common stock issuance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8" w:type="dxa"/>
            <w:tcBorders>
              <w:bottom w:val="single" w:sz="12" w:space="0" w:color="000000"/>
            </w:tcBorders>
            <w:tcMar>
              <w:bottom w:w="28" w:type="dxa"/>
            </w:tcMar>
            <w:vAlign w:val="center"/>
          </w:tcPr>
          <w:p>
            <w:pPr>
              <w:pStyle w:val="TableContents"/>
              <w:bidi w:val="0"/>
              <w:spacing w:before="0" w:after="283"/>
              <w:jc w:val="right"/>
              <w:rPr/>
            </w:pPr>
            <w:r>
              <w:rPr/>
              <w:t>221,767</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5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net consideration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898" w:type="dxa"/>
            <w:tcBorders>
              <w:bottom w:val="single" w:sz="12" w:space="0" w:color="000000"/>
            </w:tcBorders>
            <w:shd w:fill="CCEEFF" w:val="clear"/>
            <w:tcMar>
              <w:bottom w:w="28" w:type="dxa"/>
            </w:tcMar>
            <w:vAlign w:val="center"/>
          </w:tcPr>
          <w:p>
            <w:pPr>
              <w:pStyle w:val="TableContents"/>
              <w:bidi w:val="0"/>
              <w:spacing w:before="0" w:after="283"/>
              <w:jc w:val="right"/>
              <w:rPr/>
            </w:pPr>
            <w:r>
              <w:rPr/>
              <w:t>221,792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144"/>
              <w:jc w:val="left"/>
              <w:rPr/>
            </w:pPr>
            <w:r>
              <w:rPr/>
              <w:t xml:space="preserve">Recognized amounts of identifiable assets acquired and (liabilities) assumed: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0"/>
              <w:ind w:left="0" w:right="0" w:hanging="144"/>
              <w:jc w:val="left"/>
              <w:rPr/>
            </w:pPr>
            <w:r>
              <w:rPr/>
              <w:t xml:space="preserve">Cash and cash equivalents </w:t>
            </w:r>
          </w:p>
        </w:tc>
        <w:tc>
          <w:tcPr>
            <w:tcW w:w="90"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w:t>
            </w:r>
          </w:p>
        </w:tc>
        <w:tc>
          <w:tcPr>
            <w:tcW w:w="1898" w:type="dxa"/>
            <w:tcBorders/>
            <w:vAlign w:val="center"/>
          </w:tcPr>
          <w:p>
            <w:pPr>
              <w:pStyle w:val="TableContents"/>
              <w:bidi w:val="0"/>
              <w:spacing w:before="0" w:after="283"/>
              <w:jc w:val="right"/>
              <w:rPr/>
            </w:pPr>
            <w:r>
              <w:rPr/>
              <w:t>40,197</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144"/>
              <w:jc w:val="left"/>
              <w:rPr/>
            </w:pPr>
            <w:r>
              <w:rPr/>
              <w:t xml:space="preserve">Securities available for sale </w:t>
            </w:r>
          </w:p>
        </w:tc>
        <w:tc>
          <w:tcPr>
            <w:tcW w:w="90"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255,487</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0"/>
              <w:ind w:left="0" w:right="0" w:hanging="144"/>
              <w:jc w:val="left"/>
              <w:rPr/>
            </w:pPr>
            <w:r>
              <w:rPr/>
              <w:t xml:space="preserve">Securities held to maturity </w:t>
            </w:r>
          </w:p>
        </w:tc>
        <w:tc>
          <w:tcPr>
            <w:tcW w:w="90"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right"/>
              <w:rPr/>
            </w:pPr>
            <w:r>
              <w:rPr/>
              <w:t>3,494</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144"/>
              <w:jc w:val="left"/>
              <w:rPr/>
            </w:pPr>
            <w:r>
              <w:rPr/>
              <w:t xml:space="preserve">Loans, net of allowance for credit losses on purchased credit deteriorated loans </w:t>
            </w:r>
          </w:p>
        </w:tc>
        <w:tc>
          <w:tcPr>
            <w:tcW w:w="90"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1,665,712</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0"/>
              <w:ind w:left="0" w:right="0" w:hanging="144"/>
              <w:jc w:val="left"/>
              <w:rPr/>
            </w:pPr>
            <w:r>
              <w:rPr/>
              <w:t xml:space="preserve">Premises and equipment, net </w:t>
            </w:r>
          </w:p>
        </w:tc>
        <w:tc>
          <w:tcPr>
            <w:tcW w:w="90"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right"/>
              <w:rPr/>
            </w:pPr>
            <w:r>
              <w:rPr/>
              <w:t>15,069</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144"/>
              <w:jc w:val="left"/>
              <w:rPr/>
            </w:pPr>
            <w:r>
              <w:rPr/>
              <w:t xml:space="preserve">Core deposit intangibles </w:t>
            </w:r>
          </w:p>
        </w:tc>
        <w:tc>
          <w:tcPr>
            <w:tcW w:w="90"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33,240</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0"/>
              <w:ind w:left="0" w:right="0" w:hanging="144"/>
              <w:jc w:val="left"/>
              <w:rPr/>
            </w:pPr>
            <w:r>
              <w:rPr/>
              <w:t xml:space="preserve">Bank owned life insurance </w:t>
            </w:r>
          </w:p>
        </w:tc>
        <w:tc>
          <w:tcPr>
            <w:tcW w:w="90"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right"/>
              <w:rPr/>
            </w:pPr>
            <w:r>
              <w:rPr/>
              <w:t>44,100</w:t>
            </w:r>
          </w:p>
        </w:tc>
        <w:tc>
          <w:tcPr>
            <w:tcW w:w="230" w:type="dxa"/>
            <w:tcBorders/>
            <w:vAlign w:val="center"/>
          </w:tcPr>
          <w:p>
            <w:pPr>
              <w:pStyle w:val="TableContents"/>
              <w:bidi w:val="0"/>
              <w:spacing w:before="0" w:after="283"/>
              <w:jc w:val="left"/>
              <w:rPr/>
            </w:pPr>
            <w:r>
              <w:rPr/>
              <w:t> </w:t>
            </w:r>
          </w:p>
        </w:tc>
      </w:tr>
      <w:tr>
        <w:trPr/>
        <w:tc>
          <w:tcPr>
            <w:tcW w:w="755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assets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98" w:type="dxa"/>
            <w:tcBorders>
              <w:bottom w:val="single" w:sz="12" w:space="0" w:color="000000"/>
            </w:tcBorders>
            <w:shd w:fill="CCEEFF" w:val="clear"/>
            <w:tcMar>
              <w:bottom w:w="28" w:type="dxa"/>
            </w:tcMar>
            <w:vAlign w:val="center"/>
          </w:tcPr>
          <w:p>
            <w:pPr>
              <w:pStyle w:val="TableContents"/>
              <w:bidi w:val="0"/>
              <w:spacing w:before="0" w:after="283"/>
              <w:jc w:val="right"/>
              <w:rPr/>
            </w:pPr>
            <w:r>
              <w:rPr/>
              <w:t>71,131</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identifiable assets acquired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6" w:type="dxa"/>
            <w:tcBorders>
              <w:bottom w:val="single" w:sz="12" w:space="0" w:color="000000"/>
            </w:tcBorders>
            <w:tcMar>
              <w:bottom w:w="28" w:type="dxa"/>
            </w:tcMar>
            <w:vAlign w:val="center"/>
          </w:tcPr>
          <w:p>
            <w:pPr>
              <w:pStyle w:val="TableContents"/>
              <w:bidi w:val="0"/>
              <w:spacing w:before="0" w:after="283"/>
              <w:jc w:val="left"/>
              <w:rPr/>
            </w:pPr>
            <w:r>
              <w:rPr/>
              <w:t>$</w:t>
            </w:r>
          </w:p>
        </w:tc>
        <w:tc>
          <w:tcPr>
            <w:tcW w:w="1898" w:type="dxa"/>
            <w:tcBorders>
              <w:bottom w:val="single" w:sz="12" w:space="0" w:color="000000"/>
            </w:tcBorders>
            <w:tcMar>
              <w:bottom w:w="28" w:type="dxa"/>
            </w:tcMar>
            <w:vAlign w:val="center"/>
          </w:tcPr>
          <w:p>
            <w:pPr>
              <w:pStyle w:val="TableContents"/>
              <w:bidi w:val="0"/>
              <w:spacing w:before="0" w:after="283"/>
              <w:jc w:val="right"/>
              <w:rPr/>
            </w:pPr>
            <w:r>
              <w:rPr/>
              <w:t>2,128,430</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0"/>
              <w:ind w:left="0" w:right="0" w:hanging="144"/>
              <w:jc w:val="left"/>
              <w:rPr/>
            </w:pPr>
            <w:r>
              <w:rPr/>
              <w:t xml:space="preserve">Deposits </w:t>
            </w:r>
          </w:p>
        </w:tc>
        <w:tc>
          <w:tcPr>
            <w:tcW w:w="90"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w:t>
            </w:r>
          </w:p>
        </w:tc>
        <w:tc>
          <w:tcPr>
            <w:tcW w:w="1898" w:type="dxa"/>
            <w:tcBorders/>
            <w:vAlign w:val="center"/>
          </w:tcPr>
          <w:p>
            <w:pPr>
              <w:pStyle w:val="TableContents"/>
              <w:bidi w:val="0"/>
              <w:spacing w:before="0" w:after="283"/>
              <w:jc w:val="right"/>
              <w:rPr/>
            </w:pPr>
            <w:r>
              <w:rPr/>
              <w:t>(1,864,049</w:t>
            </w:r>
          </w:p>
        </w:tc>
        <w:tc>
          <w:tcPr>
            <w:tcW w:w="23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144"/>
              <w:jc w:val="left"/>
              <w:rPr/>
            </w:pPr>
            <w:r>
              <w:rPr/>
              <w:t xml:space="preserve">Borrowings </w:t>
            </w:r>
          </w:p>
        </w:tc>
        <w:tc>
          <w:tcPr>
            <w:tcW w:w="90"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(113,712</w:t>
            </w:r>
          </w:p>
        </w:tc>
        <w:tc>
          <w:tcPr>
            <w:tcW w:w="230" w:type="dxa"/>
            <w:tcBorders/>
            <w:shd w:fill="CCEEFF" w:val="clear"/>
            <w:vAlign w:val="center"/>
          </w:tcPr>
          <w:p>
            <w:pPr>
              <w:pStyle w:val="TableContents"/>
              <w:bidi w:val="0"/>
              <w:spacing w:before="0" w:after="283"/>
              <w:jc w:val="left"/>
              <w:rPr/>
            </w:pPr>
            <w:r>
              <w:rPr/>
              <w:t>) </w:t>
            </w:r>
          </w:p>
        </w:tc>
      </w:tr>
      <w:tr>
        <w:trPr/>
        <w:tc>
          <w:tcPr>
            <w:tcW w:w="755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liabilities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8" w:type="dxa"/>
            <w:tcBorders>
              <w:bottom w:val="single" w:sz="12" w:space="0" w:color="000000"/>
            </w:tcBorders>
            <w:tcMar>
              <w:bottom w:w="28" w:type="dxa"/>
            </w:tcMar>
            <w:vAlign w:val="center"/>
          </w:tcPr>
          <w:p>
            <w:pPr>
              <w:pStyle w:val="TableContents"/>
              <w:bidi w:val="0"/>
              <w:spacing w:before="0" w:after="283"/>
              <w:jc w:val="right"/>
              <w:rPr/>
            </w:pPr>
            <w:r>
              <w:rPr/>
              <w:t>(19,492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5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liabilities assumed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898" w:type="dxa"/>
            <w:tcBorders>
              <w:bottom w:val="single" w:sz="12" w:space="0" w:color="000000"/>
            </w:tcBorders>
            <w:shd w:fill="CCEEFF" w:val="clear"/>
            <w:tcMar>
              <w:bottom w:w="28" w:type="dxa"/>
            </w:tcMar>
            <w:vAlign w:val="center"/>
          </w:tcPr>
          <w:p>
            <w:pPr>
              <w:pStyle w:val="TableContents"/>
              <w:bidi w:val="0"/>
              <w:spacing w:before="0" w:after="283"/>
              <w:jc w:val="right"/>
              <w:rPr/>
            </w:pPr>
            <w:r>
              <w:rPr/>
              <w:t>(1,997,253</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8"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5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identifiable assets, net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898" w:type="dxa"/>
            <w:tcBorders>
              <w:bottom w:val="single" w:sz="12" w:space="0" w:color="000000"/>
            </w:tcBorders>
            <w:shd w:fill="CCEEFF" w:val="clear"/>
            <w:tcMar>
              <w:bottom w:w="28" w:type="dxa"/>
            </w:tcMar>
            <w:vAlign w:val="center"/>
          </w:tcPr>
          <w:p>
            <w:pPr>
              <w:pStyle w:val="TableContents"/>
              <w:bidi w:val="0"/>
              <w:spacing w:before="0" w:after="283"/>
              <w:jc w:val="right"/>
              <w:rPr/>
            </w:pPr>
            <w:r>
              <w:rPr/>
              <w:t>131,177</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55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898"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50"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t xml:space="preserve">Goodwill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9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898" w:type="dxa"/>
            <w:tcBorders>
              <w:bottom w:val="double" w:sz="8" w:space="0" w:color="000000"/>
            </w:tcBorders>
            <w:shd w:fill="CCEEFF" w:val="clear"/>
            <w:tcMar>
              <w:bottom w:w="28" w:type="dxa"/>
            </w:tcMar>
            <w:vAlign w:val="center"/>
          </w:tcPr>
          <w:p>
            <w:pPr>
              <w:pStyle w:val="TableContents"/>
              <w:bidi w:val="0"/>
              <w:spacing w:before="0" w:after="283"/>
              <w:jc w:val="right"/>
              <w:rPr/>
            </w:pPr>
            <w:r>
              <w:rPr/>
              <w:t>90,615</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is a description of the valuation methodologies used to estimate the fair values of major categories of assets acquired and liabilities assumed. The Company used an independent valuation specialist to assist with the determination of fair values for certain acquired assets and assumed liabilities.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Cash and due from banks</w:t>
      </w:r>
      <w:r>
        <w:rPr>
          <w:rFonts w:ascii="TimesNewRoman;Times New Roman;Times;Baskerville;Georgia;serif" w:hAnsi="TimesNewRoman;Times New Roman;Times;Baskerville;Georgia;serif"/>
          <w:sz w:val="20"/>
        </w:rPr>
        <w:t xml:space="preserve"> - The estimated fair value was determined to approximate the carrying amount of these assets.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Securities available for sale</w:t>
      </w:r>
      <w:r>
        <w:rPr>
          <w:rFonts w:ascii="TimesNewRoman;Times New Roman;Times;Baskerville;Georgia;serif" w:hAnsi="TimesNewRoman;Times New Roman;Times;Baskerville;Georgia;serif"/>
          <w:sz w:val="20"/>
        </w:rPr>
        <w:t xml:space="preserve"> (“AFS”) - The estimated fair value of the AFS investment portfolio was primarily determined using quoted market prices and dealer quotes. The investment securities were sold immediately after the merger and no gains or losses were recorded.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Securities held to maturity </w:t>
      </w:r>
      <w:r>
        <w:rPr>
          <w:rFonts w:ascii="TimesNewRoman;Times New Roman;Times;Baskerville;Georgia;serif" w:hAnsi="TimesNewRoman;Times New Roman;Times;Baskerville;Georgia;serif"/>
          <w:sz w:val="20"/>
        </w:rPr>
        <w:t xml:space="preserve">(“HTM”) - The estimated fair value of the HTM investment portfolio, which consisted of local municipal securities, was retained at par, which is estimated to be equal to fair value.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Loans </w:t>
      </w:r>
      <w:r>
        <w:rPr>
          <w:rFonts w:ascii="TimesNewRoman;Times New Roman;Times;Baskerville;Georgia;serif" w:hAnsi="TimesNewRoman;Times New Roman;Times;Baskerville;Georgia;serif"/>
          <w:sz w:val="20"/>
        </w:rPr>
        <w:t xml:space="preserve">- The estimated fair value of loans were based on a discounted cash flow methodology applied on a pooled basis. Loans were first segmented by purchased credit deteriorated (“PCD”) or non-purchased credit deteriorated (“non-PCD”) status, and then further grouped according to Federal Deposit Insurance Corporation (“FDIC”) call report segmentation. The valuation considered key loan characteristics including loan type, term, rate, payment schedule and loan performance attributes. Certain key assumptions related to prepayment speeds, probability of default (“PD”), loss given default (“LGD”) and discount rate were also considered. The discount rates applied were based on a build-up approach factoring in the funding mix, servicing costs, liquidity premium and factors related to performance risk.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Core deposit intangible</w:t>
      </w:r>
      <w:r>
        <w:rPr>
          <w:rFonts w:ascii="TimesNewRoman;Times New Roman;Times;Baskerville;Georgia;serif" w:hAnsi="TimesNewRoman;Times New Roman;Times;Baskerville;Georgia;serif"/>
          <w:sz w:val="20"/>
        </w:rPr>
        <w:t xml:space="preserve"> - The core deposit intangible was valued utilizing the cost savings method approach, which recognizes the cost savings represented by the expense of maintaining the core deposit base versus the cost of an alternative funding source. The valuation incorporated assumptions related to account retention, discount rates, deposit interest rates, deposit maintenance costs and alternative funding rates.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Deposits </w:t>
      </w:r>
      <w:r>
        <w:rPr>
          <w:rFonts w:ascii="TimesNewRoman;Times New Roman;Times;Baskerville;Georgia;serif" w:hAnsi="TimesNewRoman;Times New Roman;Times;Baskerville;Georgia;serif"/>
          <w:sz w:val="20"/>
        </w:rPr>
        <w:t xml:space="preserve">- The fair value of noninterest bearing demand deposits, interest-bearing checking, money market and savings deposit accounts were assumed to approximate the carrying value as these accounts have no stated maturity and are payable on demand. Certificate of deposit (“CD”) (time deposit accounts) were valued at the present value of the certificates’ expected contractual payments discounted at market rates for similar certificates which approximates carrying value.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Borrowings </w:t>
      </w:r>
      <w:r>
        <w:rPr>
          <w:rFonts w:ascii="TimesNewRoman;Times New Roman;Times;Baskerville;Georgia;serif" w:hAnsi="TimesNewRoman;Times New Roman;Times;Baskerville;Georgia;serif"/>
          <w:sz w:val="20"/>
        </w:rPr>
        <w:t xml:space="preserve">- The estimated fair value of short-term borrowings was determined to approximate stated value. Long-term debt, subordinated debt and junior subordinated debt were valued using a discounted cash flow approach incorporating a discount rate that incorporated similar terms, maturity and credit rating.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Accounting for Acquired Loans </w:t>
      </w:r>
      <w:r>
        <w:rPr>
          <w:rFonts w:ascii="TimesNewRoman;Times New Roman;Times;Baskerville;Georgia;serif" w:hAnsi="TimesNewRoman;Times New Roman;Times;Baskerville;Georgia;serif"/>
          <w:sz w:val="20"/>
        </w:rPr>
        <w:t xml:space="preserve">- Acquired loans are classified into two categories: PCD loans and non-PCD loans. PCD loans are defined as a loan or group of loans that have experienced more than insignificant credit deterioration since origination. Non-PCD loans had an allowance established on acquisition date, which is recognized as an expense through the provision for credit losses. For PCD loans, an allowance is recognized by adding it to the fair value of the loan, which is the amortized cost. There is no provision for credit loss expense recognized on PCD loans because the initial allowance is established by grossing-up the amortized cost of the PCD loan. The allowance for credit losses on non-PCD loans of $13.0 million was recorded through the provision for loan losses within the unaudited interim consolidated statements of income. The following table provides details related to the fair value of acquired PCD loans. </w:t>
      </w:r>
    </w:p>
    <w:p>
      <w:pPr>
        <w:pStyle w:val="TextBody"/>
        <w:bidi w:val="0"/>
        <w:spacing w:before="0" w:after="0"/>
        <w:jc w:val="both"/>
        <w:rPr/>
      </w:pPr>
      <w:r>
        <w:rPr/>
        <w:t xml:space="preserve">  </w:t>
      </w:r>
    </w:p>
    <w:tbl>
      <w:tblPr>
        <w:tblW w:w="5624" w:type="dxa"/>
        <w:jc w:val="left"/>
        <w:tblInd w:w="0" w:type="dxa"/>
        <w:tblLayout w:type="fixed"/>
        <w:tblCellMar>
          <w:top w:w="0" w:type="dxa"/>
          <w:left w:w="0" w:type="dxa"/>
          <w:bottom w:w="0" w:type="dxa"/>
          <w:right w:w="0" w:type="dxa"/>
        </w:tblCellMar>
      </w:tblPr>
      <w:tblGrid>
        <w:gridCol w:w="3995"/>
        <w:gridCol w:w="90"/>
        <w:gridCol w:w="222"/>
        <w:gridCol w:w="1087"/>
        <w:gridCol w:w="230"/>
      </w:tblGrid>
      <w:tr>
        <w:trPr/>
        <w:tc>
          <w:tcPr>
            <w:tcW w:w="3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9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pPr>
            <w:r>
              <w:rPr>
                <w:b/>
              </w:rPr>
              <w:t>PCD Loans</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9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Par value of PCD loans at acquisition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336,398</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144"/>
              <w:jc w:val="left"/>
              <w:rPr/>
            </w:pPr>
            <w:r>
              <w:rPr/>
              <w:t xml:space="preserve">Allowance for credit losses at acquisition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7,726</w:t>
            </w:r>
          </w:p>
        </w:tc>
        <w:tc>
          <w:tcPr>
            <w:tcW w:w="230" w:type="dxa"/>
            <w:tcBorders/>
            <w:vAlign w:val="center"/>
          </w:tcPr>
          <w:p>
            <w:pPr>
              <w:pStyle w:val="TableContents"/>
              <w:bidi w:val="0"/>
              <w:spacing w:before="0" w:after="283"/>
              <w:jc w:val="left"/>
              <w:rPr/>
            </w:pPr>
            <w:r>
              <w:rPr/>
              <w:t> </w:t>
            </w:r>
          </w:p>
        </w:tc>
      </w:tr>
      <w:tr>
        <w:trPr/>
        <w:tc>
          <w:tcPr>
            <w:tcW w:w="39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Discount at acquisition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(36,584</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Fair value of PCD loans at acquisition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22" w:type="dxa"/>
            <w:tcBorders>
              <w:bottom w:val="double" w:sz="8" w:space="0" w:color="000000"/>
            </w:tcBorders>
            <w:tcMar>
              <w:bottom w:w="28" w:type="dxa"/>
            </w:tcMar>
            <w:vAlign w:val="center"/>
          </w:tcPr>
          <w:p>
            <w:pPr>
              <w:pStyle w:val="TableContents"/>
              <w:bidi w:val="0"/>
              <w:spacing w:before="0" w:after="283"/>
              <w:jc w:val="left"/>
              <w:rPr/>
            </w:pPr>
            <w:r>
              <w:rPr/>
              <w:t>$</w:t>
            </w:r>
          </w:p>
        </w:tc>
        <w:tc>
          <w:tcPr>
            <w:tcW w:w="1087" w:type="dxa"/>
            <w:tcBorders>
              <w:bottom w:val="double" w:sz="8" w:space="0" w:color="000000"/>
            </w:tcBorders>
            <w:tcMar>
              <w:bottom w:w="28" w:type="dxa"/>
            </w:tcMar>
            <w:vAlign w:val="center"/>
          </w:tcPr>
          <w:p>
            <w:pPr>
              <w:pStyle w:val="TableContents"/>
              <w:bidi w:val="0"/>
              <w:spacing w:before="0" w:after="283"/>
              <w:jc w:val="right"/>
              <w:rPr/>
            </w:pPr>
            <w:r>
              <w:rPr/>
              <w:t>307,540</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non-PCD loans acquired from Evans had an acquisition date fair value of $1.37 billion, compared to $1.43 billion in gross contractual amounts receivable. At the acquisition date, the Company estimated that $13.0 million of the contractual cash flows were not expected to be collected.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Direct costs related to the acquisition were expensed as incurred. Acquisition integration-related expenses were $17.2 million and $18.4 million during the three and six months ended June 30, 2025, respectively. These amounts have been separately stated in the unaudited interim consolidated statements of income and are included in operating activities in the unaudited interim consolidated statements of cash flow.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Supplemental Pro Forma Financial Information (Unaudited)</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presents certain unaudited pro forma financial information for illustrative purposes only, for the three and six months ended June 30, 2025, as if Evans had been acquired on January 1, 2025. This unaudited pro forma information combines the historical results of Evans with the Company’s consolidated historical results and includes certain adjustments reflecting the estimated impact of certain fair value adjustments for the respective periods. The pro forma information is not indicative of what would have occurred had the acquisition taken place at the beginning of the year prior to the acquisition. The unaudited pro forma information does not consider any changes to the provision expense resulting from recording loan assets at fair value, cost savings or business synergies. As a result, actual amounts would have differed from the unaudited pro forma information presented and the differences could be significant. </w:t>
      </w:r>
    </w:p>
    <w:p>
      <w:pPr>
        <w:pStyle w:val="TextBody"/>
        <w:bidi w:val="0"/>
        <w:spacing w:before="0" w:after="0"/>
        <w:jc w:val="both"/>
        <w:rPr/>
      </w:pPr>
      <w:r>
        <w:rPr/>
        <w:t xml:space="preserve">  </w:t>
      </w:r>
    </w:p>
    <w:tbl>
      <w:tblPr>
        <w:tblW w:w="8389" w:type="dxa"/>
        <w:jc w:val="left"/>
        <w:tblInd w:w="0" w:type="dxa"/>
        <w:tblLayout w:type="fixed"/>
        <w:tblCellMar>
          <w:top w:w="0" w:type="dxa"/>
          <w:left w:w="0" w:type="dxa"/>
          <w:bottom w:w="0" w:type="dxa"/>
          <w:right w:w="0" w:type="dxa"/>
        </w:tblCellMar>
      </w:tblPr>
      <w:tblGrid>
        <w:gridCol w:w="3650"/>
        <w:gridCol w:w="98"/>
        <w:gridCol w:w="389"/>
        <w:gridCol w:w="1910"/>
        <w:gridCol w:w="98"/>
        <w:gridCol w:w="98"/>
        <w:gridCol w:w="338"/>
        <w:gridCol w:w="1661"/>
        <w:gridCol w:w="147"/>
      </w:tblGrid>
      <w:tr>
        <w:trPr/>
        <w:tc>
          <w:tcPr>
            <w:tcW w:w="3650" w:type="dxa"/>
            <w:tcBorders/>
            <w:vAlign w:val="center"/>
          </w:tcPr>
          <w:p>
            <w:pPr>
              <w:pStyle w:val="TableContents"/>
              <w:bidi w:val="0"/>
              <w:spacing w:before="0" w:after="283"/>
              <w:jc w:val="left"/>
              <w:rPr/>
            </w:pPr>
            <w:r>
              <w:rPr/>
              <w:t> </w:t>
            </w:r>
          </w:p>
        </w:tc>
        <w:tc>
          <w:tcPr>
            <w:tcW w:w="4739" w:type="dxa"/>
            <w:gridSpan w:val="8"/>
            <w:tcBorders/>
            <w:vAlign w:val="center"/>
          </w:tcPr>
          <w:p>
            <w:pPr>
              <w:pStyle w:val="TableContents"/>
              <w:bidi w:val="0"/>
              <w:spacing w:before="0" w:after="283"/>
              <w:jc w:val="center"/>
              <w:rPr/>
            </w:pPr>
            <w:r>
              <w:rPr>
                <w:b/>
              </w:rPr>
              <w:t>Pro Forma (Unaudited)</w:t>
            </w:r>
            <w:r>
              <w:rPr/>
              <w:t xml:space="preserve">  </w:t>
            </w:r>
          </w:p>
        </w:tc>
      </w:tr>
      <w:tr>
        <w:trPr/>
        <w:tc>
          <w:tcPr>
            <w:tcW w:w="365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center"/>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pPr>
            <w:r>
              <w:rPr>
                <w:b/>
              </w:rPr>
              <w:t>Three Months Ended</w:t>
            </w:r>
            <w:r>
              <w:rPr/>
              <w:t xml:space="preserve"> </w:t>
            </w:r>
          </w:p>
        </w:tc>
        <w:tc>
          <w:tcPr>
            <w:tcW w:w="9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pPr>
            <w:r>
              <w:rPr>
                <w:b/>
              </w:rPr>
              <w:t>Six Months Ended</w:t>
            </w:r>
            <w:r>
              <w:rPr/>
              <w:t xml:space="preserve"> </w:t>
            </w:r>
          </w:p>
        </w:tc>
        <w:tc>
          <w:tcPr>
            <w:tcW w:w="147"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65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2025</w:t>
            </w:r>
            <w:r>
              <w:rPr/>
              <w:t xml:space="preserve"> </w:t>
            </w:r>
          </w:p>
        </w:tc>
        <w:tc>
          <w:tcPr>
            <w:tcW w:w="9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2025</w:t>
            </w:r>
            <w:r>
              <w:rPr/>
              <w:t xml:space="preserve"> </w:t>
            </w:r>
          </w:p>
        </w:tc>
        <w:tc>
          <w:tcPr>
            <w:tcW w:w="147"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650" w:type="dxa"/>
            <w:tcBorders/>
            <w:shd w:fill="CCEEFF" w:val="clear"/>
            <w:vAlign w:val="center"/>
          </w:tcPr>
          <w:p>
            <w:pPr>
              <w:pStyle w:val="TableContents"/>
              <w:bidi w:val="0"/>
              <w:spacing w:before="0" w:after="0"/>
              <w:ind w:left="0" w:right="0" w:hanging="144"/>
              <w:jc w:val="left"/>
              <w:rPr/>
            </w:pPr>
            <w:r>
              <w:rPr/>
              <w:t xml:space="preserve">Total revenue, net of interest expense </w:t>
            </w:r>
          </w:p>
        </w:tc>
        <w:tc>
          <w:tcPr>
            <w:tcW w:w="98" w:type="dxa"/>
            <w:tcBorders/>
            <w:shd w:fill="CCEEFF" w:val="clear"/>
            <w:vAlign w:val="center"/>
          </w:tcPr>
          <w:p>
            <w:pPr>
              <w:pStyle w:val="TableContents"/>
              <w:bidi w:val="0"/>
              <w:spacing w:before="0" w:after="283"/>
              <w:jc w:val="right"/>
              <w:rPr/>
            </w:pPr>
            <w:r>
              <w:rPr/>
              <w:t> </w:t>
            </w:r>
          </w:p>
        </w:tc>
        <w:tc>
          <w:tcPr>
            <w:tcW w:w="389"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177,453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w:t>
            </w:r>
          </w:p>
        </w:tc>
        <w:tc>
          <w:tcPr>
            <w:tcW w:w="1661" w:type="dxa"/>
            <w:tcBorders/>
            <w:shd w:fill="CCEEFF" w:val="clear"/>
            <w:vAlign w:val="center"/>
          </w:tcPr>
          <w:p>
            <w:pPr>
              <w:pStyle w:val="TableContents"/>
              <w:bidi w:val="0"/>
              <w:spacing w:before="0" w:after="283"/>
              <w:jc w:val="right"/>
              <w:rPr/>
            </w:pPr>
            <w:r>
              <w:rPr/>
              <w:t>349,366</w:t>
            </w:r>
          </w:p>
        </w:tc>
        <w:tc>
          <w:tcPr>
            <w:tcW w:w="147"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ind w:left="0" w:right="0" w:hanging="144"/>
              <w:jc w:val="left"/>
              <w:rPr/>
            </w:pPr>
            <w:r>
              <w:rPr/>
              <w:t xml:space="preserve">Net income </w:t>
            </w:r>
          </w:p>
        </w:tc>
        <w:tc>
          <w:tcPr>
            <w:tcW w:w="98" w:type="dxa"/>
            <w:tcBorders/>
            <w:vAlign w:val="center"/>
          </w:tcPr>
          <w:p>
            <w:pPr>
              <w:pStyle w:val="TableContents"/>
              <w:bidi w:val="0"/>
              <w:spacing w:before="0" w:after="283"/>
              <w:jc w:val="right"/>
              <w:rPr/>
            </w:pPr>
            <w:r>
              <w:rPr/>
              <w:t> </w:t>
            </w:r>
          </w:p>
        </w:tc>
        <w:tc>
          <w:tcPr>
            <w:tcW w:w="389"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pPr>
            <w:r>
              <w:rPr/>
              <w:t>12,930</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right"/>
              <w:rPr/>
            </w:pPr>
            <w:r>
              <w:rPr/>
              <w:t> </w:t>
            </w:r>
          </w:p>
        </w:tc>
        <w:tc>
          <w:tcPr>
            <w:tcW w:w="338" w:type="dxa"/>
            <w:tcBorders/>
            <w:vAlign w:val="center"/>
          </w:tcPr>
          <w:p>
            <w:pPr>
              <w:pStyle w:val="TableContents"/>
              <w:bidi w:val="0"/>
              <w:spacing w:before="0" w:after="283"/>
              <w:jc w:val="left"/>
              <w:rPr/>
            </w:pPr>
            <w:r>
              <w:rPr/>
              <w:t> </w:t>
            </w:r>
          </w:p>
        </w:tc>
        <w:tc>
          <w:tcPr>
            <w:tcW w:w="1661" w:type="dxa"/>
            <w:tcBorders/>
            <w:vAlign w:val="center"/>
          </w:tcPr>
          <w:p>
            <w:pPr>
              <w:pStyle w:val="TableContents"/>
              <w:bidi w:val="0"/>
              <w:spacing w:before="0" w:after="283"/>
              <w:jc w:val="right"/>
              <w:rPr/>
            </w:pPr>
            <w:r>
              <w:rPr/>
              <w:t>52,859</w:t>
            </w:r>
          </w:p>
        </w:tc>
        <w:tc>
          <w:tcPr>
            <w:tcW w:w="147"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5. Securities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amortized cost, estimated fair value and unrealized gains (losses) of AFS securities are as follows: </w:t>
      </w:r>
    </w:p>
    <w:p>
      <w:pPr>
        <w:pStyle w:val="TextBody"/>
        <w:bidi w:val="0"/>
        <w:spacing w:before="0" w:after="0"/>
        <w:jc w:val="left"/>
        <w:rPr/>
      </w:pPr>
      <w:r>
        <w:rPr/>
        <w:t xml:space="preserve">  </w:t>
      </w:r>
    </w:p>
    <w:tbl>
      <w:tblPr>
        <w:tblW w:w="9221" w:type="dxa"/>
        <w:jc w:val="left"/>
        <w:tblInd w:w="0" w:type="dxa"/>
        <w:tblLayout w:type="fixed"/>
        <w:tblCellMar>
          <w:top w:w="0" w:type="dxa"/>
          <w:left w:w="0" w:type="dxa"/>
          <w:bottom w:w="0" w:type="dxa"/>
          <w:right w:w="0" w:type="dxa"/>
        </w:tblCellMar>
      </w:tblPr>
      <w:tblGrid>
        <w:gridCol w:w="3530"/>
        <w:gridCol w:w="90"/>
        <w:gridCol w:w="171"/>
        <w:gridCol w:w="1018"/>
        <w:gridCol w:w="90"/>
        <w:gridCol w:w="90"/>
        <w:gridCol w:w="272"/>
        <w:gridCol w:w="947"/>
        <w:gridCol w:w="90"/>
        <w:gridCol w:w="90"/>
        <w:gridCol w:w="192"/>
        <w:gridCol w:w="1027"/>
        <w:gridCol w:w="185"/>
        <w:gridCol w:w="90"/>
        <w:gridCol w:w="173"/>
        <w:gridCol w:w="1031"/>
        <w:gridCol w:w="135"/>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89" w:type="dxa"/>
            <w:gridSpan w:val="2"/>
            <w:tcBorders/>
            <w:vAlign w:val="center"/>
          </w:tcPr>
          <w:p>
            <w:pPr>
              <w:pStyle w:val="TableContents"/>
              <w:bidi w:val="0"/>
              <w:spacing w:before="0" w:after="283"/>
              <w:jc w:val="center"/>
              <w:rPr/>
            </w:pPr>
            <w:r>
              <w:rPr>
                <w:b/>
              </w:rPr>
              <w:t>Amortized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19" w:type="dxa"/>
            <w:gridSpan w:val="2"/>
            <w:tcBorders/>
            <w:vAlign w:val="center"/>
          </w:tcPr>
          <w:p>
            <w:pPr>
              <w:pStyle w:val="TableContents"/>
              <w:bidi w:val="0"/>
              <w:spacing w:before="0" w:after="283"/>
              <w:jc w:val="center"/>
              <w:rPr/>
            </w:pPr>
            <w:r>
              <w:rPr>
                <w:b/>
              </w:rPr>
              <w:t>Unrealized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19" w:type="dxa"/>
            <w:gridSpan w:val="2"/>
            <w:tcBorders/>
            <w:vAlign w:val="center"/>
          </w:tcPr>
          <w:p>
            <w:pPr>
              <w:pStyle w:val="TableContents"/>
              <w:bidi w:val="0"/>
              <w:spacing w:before="0" w:after="283"/>
              <w:jc w:val="center"/>
              <w:rPr/>
            </w:pPr>
            <w:r>
              <w:rPr>
                <w:b/>
              </w:rPr>
              <w:t>Unrealized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4" w:type="dxa"/>
            <w:gridSpan w:val="2"/>
            <w:tcBorders/>
            <w:vAlign w:val="center"/>
          </w:tcPr>
          <w:p>
            <w:pPr>
              <w:pStyle w:val="TableContents"/>
              <w:bidi w:val="0"/>
              <w:spacing w:before="0" w:after="283"/>
              <w:jc w:val="center"/>
              <w:rPr/>
            </w:pPr>
            <w:r>
              <w:rPr>
                <w:b/>
              </w:rPr>
              <w:t>Estimated</w:t>
            </w:r>
            <w:r>
              <w:rPr/>
              <w:t xml:space="preserve"> </w:t>
            </w:r>
          </w:p>
        </w:tc>
        <w:tc>
          <w:tcPr>
            <w:tcW w:w="135" w:type="dxa"/>
            <w:tcBorders/>
            <w:vAlign w:val="center"/>
          </w:tcPr>
          <w:p>
            <w:pPr>
              <w:pStyle w:val="TableContents"/>
              <w:bidi w:val="0"/>
              <w:spacing w:before="0" w:after="283"/>
              <w:jc w:val="center"/>
              <w:rPr/>
            </w:pPr>
            <w:r>
              <w:rPr/>
              <w:t> </w:t>
            </w:r>
          </w:p>
        </w:tc>
      </w:tr>
      <w:tr>
        <w:trPr/>
        <w:tc>
          <w:tcPr>
            <w:tcW w:w="353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pPr>
            <w:r>
              <w:rPr>
                <w:b/>
              </w:rPr>
              <w:t>Cost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pPr>
            <w:r>
              <w:rPr>
                <w:b/>
              </w:rPr>
              <w:t>Gains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pPr>
            <w:r>
              <w:rPr>
                <w:b/>
              </w:rPr>
              <w:t>Losses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pPr>
            <w:r>
              <w:rPr>
                <w:b/>
              </w:rPr>
              <w:t>Fair Value</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530" w:type="dxa"/>
            <w:tcBorders/>
            <w:vAlign w:val="center"/>
          </w:tcPr>
          <w:p>
            <w:pPr>
              <w:pStyle w:val="TableContents"/>
              <w:bidi w:val="0"/>
              <w:spacing w:before="0" w:after="0"/>
              <w:ind w:left="0" w:right="0" w:hanging="144"/>
              <w:jc w:val="left"/>
              <w:rPr/>
            </w:pPr>
            <w:r>
              <w:rPr>
                <w:b/>
              </w:rPr>
              <w:t>As of June 30, 2026</w:t>
            </w:r>
            <w:r>
              <w:rPr/>
              <w:t xml:space="preserve"> </w:t>
            </w:r>
          </w:p>
        </w:tc>
        <w:tc>
          <w:tcPr>
            <w:tcW w:w="90" w:type="dxa"/>
            <w:tcBorders/>
            <w:vAlign w:val="center"/>
          </w:tcPr>
          <w:p>
            <w:pPr>
              <w:pStyle w:val="TableContents"/>
              <w:bidi w:val="0"/>
              <w:spacing w:before="0" w:after="283"/>
              <w:jc w:val="center"/>
              <w:rPr/>
            </w:pPr>
            <w:r>
              <w:rPr/>
              <w:t> </w:t>
            </w:r>
          </w:p>
        </w:tc>
        <w:tc>
          <w:tcPr>
            <w:tcW w:w="171" w:type="dxa"/>
            <w:tcBorders/>
            <w:vAlign w:val="center"/>
          </w:tcPr>
          <w:p>
            <w:pPr>
              <w:pStyle w:val="TableContents"/>
              <w:bidi w:val="0"/>
              <w:spacing w:before="0" w:after="283"/>
              <w:jc w:val="center"/>
              <w:rPr/>
            </w:pPr>
            <w:r>
              <w:rPr/>
              <w:t> </w:t>
            </w:r>
          </w:p>
        </w:tc>
        <w:tc>
          <w:tcPr>
            <w:tcW w:w="10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2"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2" w:type="dxa"/>
            <w:tcBorders/>
            <w:vAlign w:val="center"/>
          </w:tcPr>
          <w:p>
            <w:pPr>
              <w:pStyle w:val="TableContents"/>
              <w:bidi w:val="0"/>
              <w:spacing w:before="0" w:after="283"/>
              <w:jc w:val="center"/>
              <w:rPr/>
            </w:pPr>
            <w:r>
              <w:rPr/>
              <w:t> </w:t>
            </w:r>
          </w:p>
        </w:tc>
        <w:tc>
          <w:tcPr>
            <w:tcW w:w="1027"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3"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U.S. treasury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b/>
              </w:rPr>
            </w:pPr>
            <w:r>
              <w:rPr>
                <w:b/>
              </w:rPr>
              <w:t>$</w:t>
            </w:r>
          </w:p>
        </w:tc>
        <w:tc>
          <w:tcPr>
            <w:tcW w:w="1018" w:type="dxa"/>
            <w:tcBorders/>
            <w:shd w:fill="CCEEFF" w:val="clear"/>
            <w:vAlign w:val="center"/>
          </w:tcPr>
          <w:p>
            <w:pPr>
              <w:pStyle w:val="TableContents"/>
              <w:bidi w:val="0"/>
              <w:spacing w:before="0" w:after="283"/>
              <w:jc w:val="right"/>
              <w:rPr>
                <w:b/>
              </w:rPr>
            </w:pPr>
            <w:r>
              <w:rPr>
                <w:b/>
              </w:rPr>
              <w:t>104,422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b/>
              </w:rPr>
            </w:pPr>
            <w:r>
              <w:rPr>
                <w:b/>
              </w:rPr>
              <w:t>$</w:t>
            </w:r>
          </w:p>
        </w:tc>
        <w:tc>
          <w:tcPr>
            <w:tcW w:w="947"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1027" w:type="dxa"/>
            <w:tcBorders/>
            <w:shd w:fill="CCEEFF" w:val="clear"/>
            <w:vAlign w:val="center"/>
          </w:tcPr>
          <w:p>
            <w:pPr>
              <w:pStyle w:val="TableContents"/>
              <w:bidi w:val="0"/>
              <w:spacing w:before="0" w:after="283"/>
              <w:jc w:val="right"/>
              <w:rPr>
                <w:b/>
              </w:rPr>
            </w:pPr>
            <w:r>
              <w:rPr>
                <w:b/>
              </w:rPr>
              <w:t>(2,664</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b/>
              </w:rPr>
            </w:pPr>
            <w:r>
              <w:rPr>
                <w:b/>
              </w:rPr>
              <w:t>$</w:t>
            </w:r>
          </w:p>
        </w:tc>
        <w:tc>
          <w:tcPr>
            <w:tcW w:w="1031" w:type="dxa"/>
            <w:tcBorders/>
            <w:shd w:fill="CCEEFF" w:val="clear"/>
            <w:vAlign w:val="center"/>
          </w:tcPr>
          <w:p>
            <w:pPr>
              <w:pStyle w:val="TableContents"/>
              <w:bidi w:val="0"/>
              <w:spacing w:before="0" w:after="283"/>
              <w:jc w:val="right"/>
              <w:rPr>
                <w:b/>
              </w:rPr>
            </w:pPr>
            <w:r>
              <w:rPr>
                <w:b/>
              </w:rPr>
              <w:t>101,758</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Federal agency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248,293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b/>
              </w:rPr>
            </w:pPr>
            <w:r>
              <w:rPr>
                <w:b/>
              </w:rPr>
              <w:t>(17,164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b/>
              </w:rPr>
            </w:pPr>
            <w:r>
              <w:rPr>
                <w:b/>
              </w:rPr>
              <w:t>231,129</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State &amp; municipal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b/>
              </w:rPr>
            </w:pPr>
            <w:r>
              <w:rPr>
                <w:b/>
              </w:rPr>
              <w:t>84,796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b/>
              </w:rPr>
            </w:pPr>
            <w:r>
              <w:rPr>
                <w:b/>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b/>
              </w:rPr>
            </w:pPr>
            <w:r>
              <w:rPr>
                <w:b/>
              </w:rPr>
              <w:t>(3,676</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b/>
              </w:rPr>
            </w:pPr>
            <w:r>
              <w:rPr>
                <w:b/>
              </w:rPr>
              <w:t>81,122</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Mortgage-backed: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Government-sponsored enterprises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b/>
              </w:rPr>
            </w:pPr>
            <w:r>
              <w:rPr>
                <w:b/>
              </w:rPr>
              <w:t>589,968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b/>
              </w:rPr>
            </w:pPr>
            <w:r>
              <w:rPr>
                <w:b/>
              </w:rPr>
              <w:t>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b/>
              </w:rPr>
            </w:pPr>
            <w:r>
              <w:rPr>
                <w:b/>
              </w:rPr>
              <w:t>(26,580</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b/>
              </w:rPr>
            </w:pPr>
            <w:r>
              <w:rPr>
                <w:b/>
              </w:rPr>
              <w:t>563,894</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U.S. government agency securities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175,232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b/>
              </w:rPr>
            </w:pPr>
            <w:r>
              <w:rPr>
                <w:b/>
              </w:rPr>
              <w:t>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b/>
              </w:rPr>
            </w:pPr>
            <w:r>
              <w:rPr>
                <w:b/>
              </w:rPr>
              <w:t>(4,566</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b/>
              </w:rPr>
            </w:pPr>
            <w:r>
              <w:rPr>
                <w:b/>
              </w:rPr>
              <w:t>170,941</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Collateralized mortgage obligations: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Government-sponsored enterprises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625,419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b/>
              </w:rPr>
            </w:pPr>
            <w:r>
              <w:rPr>
                <w:b/>
              </w:rPr>
              <w:t>1,504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b/>
              </w:rPr>
            </w:pPr>
            <w:r>
              <w:rPr>
                <w:b/>
              </w:rPr>
              <w:t>(28,390</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b/>
              </w:rPr>
            </w:pPr>
            <w:r>
              <w:rPr>
                <w:b/>
              </w:rPr>
              <w:t>598,533</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U.S. government agency securities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b/>
              </w:rPr>
            </w:pPr>
            <w:r>
              <w:rPr>
                <w:b/>
              </w:rPr>
              <w:t>260,288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b/>
              </w:rPr>
            </w:pPr>
            <w:r>
              <w:rPr>
                <w:b/>
              </w:rPr>
              <w:t>453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b/>
              </w:rPr>
            </w:pPr>
            <w:r>
              <w:rPr>
                <w:b/>
              </w:rPr>
              <w:t>(23,626</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b/>
              </w:rPr>
            </w:pPr>
            <w:r>
              <w:rPr>
                <w:b/>
              </w:rPr>
              <w:t>237,115</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Corporate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b/>
              </w:rPr>
            </w:pPr>
            <w:r>
              <w:rPr>
                <w:b/>
              </w:rPr>
              <w:t>22,500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tcMar>
              <w:bottom w:w="28" w:type="dxa"/>
            </w:tcMar>
            <w:vAlign w:val="center"/>
          </w:tcPr>
          <w:p>
            <w:pPr>
              <w:pStyle w:val="TableContents"/>
              <w:bidi w:val="0"/>
              <w:spacing w:before="0" w:after="283"/>
              <w:jc w:val="right"/>
              <w:rPr>
                <w:b/>
              </w:rPr>
            </w:pPr>
            <w:r>
              <w:rPr>
                <w:b/>
              </w:rPr>
              <w:t>(786</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b/>
              </w:rPr>
            </w:pPr>
            <w:r>
              <w:rPr>
                <w:b/>
              </w:rPr>
              <w:t>21,714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53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AFS securities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2,110,918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72"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4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2,740</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2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(107,452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31"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2,006,206</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b/>
              </w:rPr>
              <w:t>As of December 31, 2025</w:t>
            </w:r>
            <w:r>
              <w:rPr/>
              <w:t xml:space="preserve">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U.S. treasury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79,330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(2,533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76,822</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Federal agency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248,312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pPr>
            <w:r>
              <w:rPr/>
              <w:t>(17,036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231,276</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State &amp; municipal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90,654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(3,931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86,727</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Mortgage-backed: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Government-sponsored enterprises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470,606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1,651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(23,532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448,725</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U.S. government agency securities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145,836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660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pPr>
            <w:r>
              <w:rPr/>
              <w:t>(3,659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142,837</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Collateralized mortgage obligations: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Government-sponsored enterprises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653,512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2,137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pPr>
            <w:r>
              <w:rPr/>
              <w:t>(26,214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629,435</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U.S. government agency securities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247,908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(22,192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226,051</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Corporate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pPr>
            <w:r>
              <w:rPr/>
              <w:t>22,500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tcMar>
              <w:bottom w:w="28" w:type="dxa"/>
            </w:tcMar>
            <w:vAlign w:val="center"/>
          </w:tcPr>
          <w:p>
            <w:pPr>
              <w:pStyle w:val="TableContents"/>
              <w:bidi w:val="0"/>
              <w:spacing w:before="0" w:after="283"/>
              <w:jc w:val="right"/>
              <w:rPr/>
            </w:pPr>
            <w:r>
              <w:rPr/>
              <w:t>(1,535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20,965</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53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AFS securities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18" w:type="dxa"/>
            <w:tcBorders>
              <w:bottom w:val="double" w:sz="8" w:space="0" w:color="000000"/>
            </w:tcBorders>
            <w:shd w:fill="CCEEFF" w:val="clear"/>
            <w:tcMar>
              <w:bottom w:w="28" w:type="dxa"/>
            </w:tcMar>
            <w:vAlign w:val="center"/>
          </w:tcPr>
          <w:p>
            <w:pPr>
              <w:pStyle w:val="TableContents"/>
              <w:bidi w:val="0"/>
              <w:spacing w:before="0" w:after="283"/>
              <w:jc w:val="right"/>
              <w:rPr/>
            </w:pPr>
            <w:r>
              <w:rPr/>
              <w:t>1,958,658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7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47" w:type="dxa"/>
            <w:tcBorders>
              <w:bottom w:val="double" w:sz="8" w:space="0" w:color="000000"/>
            </w:tcBorders>
            <w:shd w:fill="CCEEFF" w:val="clear"/>
            <w:tcMar>
              <w:bottom w:w="28" w:type="dxa"/>
            </w:tcMar>
            <w:vAlign w:val="center"/>
          </w:tcPr>
          <w:p>
            <w:pPr>
              <w:pStyle w:val="TableContents"/>
              <w:bidi w:val="0"/>
              <w:spacing w:before="0" w:after="283"/>
              <w:jc w:val="right"/>
              <w:rPr/>
            </w:pPr>
            <w:r>
              <w:rPr/>
              <w:t>4,812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8" w:space="0" w:color="000000"/>
            </w:tcBorders>
            <w:shd w:fill="CCEEFF" w:val="clear"/>
            <w:tcMar>
              <w:bottom w:w="28" w:type="dxa"/>
            </w:tcMar>
            <w:vAlign w:val="center"/>
          </w:tcPr>
          <w:p>
            <w:pPr>
              <w:pStyle w:val="TableContents"/>
              <w:bidi w:val="0"/>
              <w:spacing w:before="0" w:after="283"/>
              <w:jc w:val="right"/>
              <w:rPr/>
            </w:pPr>
            <w:r>
              <w:rPr/>
              <w:t>(100,632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shd w:fill="CCEEFF" w:val="clear"/>
            <w:tcMar>
              <w:bottom w:w="28" w:type="dxa"/>
            </w:tcMar>
            <w:vAlign w:val="center"/>
          </w:tcPr>
          <w:p>
            <w:pPr>
              <w:pStyle w:val="TableContents"/>
              <w:bidi w:val="0"/>
              <w:spacing w:before="0" w:after="283"/>
              <w:jc w:val="right"/>
              <w:rPr/>
            </w:pPr>
            <w:r>
              <w:rPr/>
              <w:t>1,862,838</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was no allowance for credit losses on AFS securities as of June 30, 2026 and December 31, 2025.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three and six months ended June 30, 2026 and 2025, there were no gains or losses reclassified out of accumulated other comprehensive income (loss) (“AOCI”) and into earnings.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amortized cost, estimated fair value and unrealized gains (losses) of HTM securities are as follows: </w:t>
      </w:r>
    </w:p>
    <w:p>
      <w:pPr>
        <w:pStyle w:val="TextBody"/>
        <w:bidi w:val="0"/>
        <w:spacing w:before="0" w:after="0"/>
        <w:jc w:val="left"/>
        <w:rPr/>
      </w:pPr>
      <w:r>
        <w:rPr/>
        <w:t xml:space="preserve">  </w:t>
      </w:r>
    </w:p>
    <w:tbl>
      <w:tblPr>
        <w:tblW w:w="9221" w:type="dxa"/>
        <w:jc w:val="left"/>
        <w:tblInd w:w="0" w:type="dxa"/>
        <w:tblLayout w:type="fixed"/>
        <w:tblCellMar>
          <w:top w:w="0" w:type="dxa"/>
          <w:left w:w="0" w:type="dxa"/>
          <w:bottom w:w="0" w:type="dxa"/>
          <w:right w:w="0" w:type="dxa"/>
        </w:tblCellMar>
      </w:tblPr>
      <w:tblGrid>
        <w:gridCol w:w="3530"/>
        <w:gridCol w:w="90"/>
        <w:gridCol w:w="202"/>
        <w:gridCol w:w="987"/>
        <w:gridCol w:w="90"/>
        <w:gridCol w:w="90"/>
        <w:gridCol w:w="357"/>
        <w:gridCol w:w="862"/>
        <w:gridCol w:w="90"/>
        <w:gridCol w:w="90"/>
        <w:gridCol w:w="216"/>
        <w:gridCol w:w="1003"/>
        <w:gridCol w:w="185"/>
        <w:gridCol w:w="90"/>
        <w:gridCol w:w="203"/>
        <w:gridCol w:w="1001"/>
        <w:gridCol w:w="135"/>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89" w:type="dxa"/>
            <w:gridSpan w:val="2"/>
            <w:tcBorders/>
            <w:vAlign w:val="center"/>
          </w:tcPr>
          <w:p>
            <w:pPr>
              <w:pStyle w:val="TableContents"/>
              <w:bidi w:val="0"/>
              <w:spacing w:before="0" w:after="283"/>
              <w:jc w:val="center"/>
              <w:rPr/>
            </w:pPr>
            <w:r>
              <w:rPr>
                <w:b/>
              </w:rPr>
              <w:t>Amortized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19" w:type="dxa"/>
            <w:gridSpan w:val="2"/>
            <w:tcBorders/>
            <w:vAlign w:val="center"/>
          </w:tcPr>
          <w:p>
            <w:pPr>
              <w:pStyle w:val="TableContents"/>
              <w:bidi w:val="0"/>
              <w:spacing w:before="0" w:after="283"/>
              <w:jc w:val="center"/>
              <w:rPr/>
            </w:pPr>
            <w:r>
              <w:rPr>
                <w:b/>
              </w:rPr>
              <w:t>Unrealized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19" w:type="dxa"/>
            <w:gridSpan w:val="2"/>
            <w:tcBorders/>
            <w:vAlign w:val="center"/>
          </w:tcPr>
          <w:p>
            <w:pPr>
              <w:pStyle w:val="TableContents"/>
              <w:bidi w:val="0"/>
              <w:spacing w:before="0" w:after="283"/>
              <w:jc w:val="center"/>
              <w:rPr/>
            </w:pPr>
            <w:r>
              <w:rPr>
                <w:b/>
              </w:rPr>
              <w:t>Unrealized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4" w:type="dxa"/>
            <w:gridSpan w:val="2"/>
            <w:tcBorders/>
            <w:vAlign w:val="center"/>
          </w:tcPr>
          <w:p>
            <w:pPr>
              <w:pStyle w:val="TableContents"/>
              <w:bidi w:val="0"/>
              <w:spacing w:before="0" w:after="283"/>
              <w:jc w:val="center"/>
              <w:rPr/>
            </w:pPr>
            <w:r>
              <w:rPr>
                <w:b/>
              </w:rPr>
              <w:t>Estimated</w:t>
            </w:r>
            <w:r>
              <w:rPr/>
              <w:t xml:space="preserve"> </w:t>
            </w:r>
          </w:p>
        </w:tc>
        <w:tc>
          <w:tcPr>
            <w:tcW w:w="135" w:type="dxa"/>
            <w:tcBorders/>
            <w:vAlign w:val="center"/>
          </w:tcPr>
          <w:p>
            <w:pPr>
              <w:pStyle w:val="TableContents"/>
              <w:bidi w:val="0"/>
              <w:spacing w:before="0" w:after="283"/>
              <w:jc w:val="center"/>
              <w:rPr/>
            </w:pPr>
            <w:r>
              <w:rPr/>
              <w:t> </w:t>
            </w:r>
          </w:p>
        </w:tc>
      </w:tr>
      <w:tr>
        <w:trPr/>
        <w:tc>
          <w:tcPr>
            <w:tcW w:w="353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pPr>
            <w:r>
              <w:rPr>
                <w:b/>
              </w:rPr>
              <w:t>Cost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pPr>
            <w:r>
              <w:rPr>
                <w:b/>
              </w:rPr>
              <w:t>Gains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pPr>
            <w:r>
              <w:rPr>
                <w:b/>
              </w:rPr>
              <w:t>Losses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pPr>
            <w:r>
              <w:rPr>
                <w:b/>
              </w:rPr>
              <w:t>Fair Value</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530" w:type="dxa"/>
            <w:tcBorders/>
            <w:vAlign w:val="center"/>
          </w:tcPr>
          <w:p>
            <w:pPr>
              <w:pStyle w:val="TableContents"/>
              <w:bidi w:val="0"/>
              <w:spacing w:before="0" w:after="0"/>
              <w:ind w:left="0" w:right="0" w:hanging="144"/>
              <w:jc w:val="left"/>
              <w:rPr/>
            </w:pPr>
            <w:r>
              <w:rPr>
                <w:b/>
              </w:rPr>
              <w:t>As of June 30, 2026</w:t>
            </w:r>
            <w:r>
              <w:rPr/>
              <w:t xml:space="preserve">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Federal agency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987" w:type="dxa"/>
            <w:tcBorders/>
            <w:shd w:fill="CCEEFF" w:val="clear"/>
            <w:vAlign w:val="center"/>
          </w:tcPr>
          <w:p>
            <w:pPr>
              <w:pStyle w:val="TableContents"/>
              <w:bidi w:val="0"/>
              <w:spacing w:before="0" w:after="283"/>
              <w:jc w:val="right"/>
              <w:rPr>
                <w:b/>
              </w:rPr>
            </w:pPr>
            <w:r>
              <w:rPr>
                <w:b/>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b/>
              </w:rPr>
            </w:pPr>
            <w:r>
              <w:rPr>
                <w:b/>
              </w:rPr>
              <w:t>$</w:t>
            </w:r>
          </w:p>
        </w:tc>
        <w:tc>
          <w:tcPr>
            <w:tcW w:w="862"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1003" w:type="dxa"/>
            <w:tcBorders/>
            <w:shd w:fill="CCEEFF" w:val="clear"/>
            <w:vAlign w:val="center"/>
          </w:tcPr>
          <w:p>
            <w:pPr>
              <w:pStyle w:val="TableContents"/>
              <w:bidi w:val="0"/>
              <w:spacing w:before="0" w:after="283"/>
              <w:jc w:val="right"/>
              <w:rPr>
                <w:b/>
              </w:rPr>
            </w:pPr>
            <w:r>
              <w:rPr>
                <w:b/>
              </w:rPr>
              <w:t>(11,268</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b/>
              </w:rPr>
            </w:pPr>
            <w:r>
              <w:rPr>
                <w:b/>
              </w:rPr>
              <w:t>$</w:t>
            </w:r>
          </w:p>
        </w:tc>
        <w:tc>
          <w:tcPr>
            <w:tcW w:w="1001" w:type="dxa"/>
            <w:tcBorders/>
            <w:shd w:fill="CCEEFF" w:val="clear"/>
            <w:vAlign w:val="center"/>
          </w:tcPr>
          <w:p>
            <w:pPr>
              <w:pStyle w:val="TableContents"/>
              <w:bidi w:val="0"/>
              <w:spacing w:before="0" w:after="283"/>
              <w:jc w:val="right"/>
              <w:rPr>
                <w:b/>
              </w:rPr>
            </w:pPr>
            <w:r>
              <w:rPr>
                <w:b/>
              </w:rPr>
              <w:t>88,732</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Mortgage-backed: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Government-sponsored enterprises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b/>
              </w:rPr>
            </w:pPr>
            <w:r>
              <w:rPr>
                <w:b/>
              </w:rPr>
              <w:t>179,456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b/>
              </w:rPr>
            </w:pPr>
            <w:r>
              <w:rPr>
                <w:b/>
              </w:rPr>
              <w:t>(23,892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155,564</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U.S. government agency securities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b/>
              </w:rPr>
            </w:pPr>
            <w:r>
              <w:rPr>
                <w:b/>
              </w:rPr>
              <w:t>12,021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b/>
              </w:rPr>
            </w:pPr>
            <w:r>
              <w:rPr>
                <w:b/>
              </w:rPr>
              <w:t>(176</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11,845</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Collateralized mortgage obligations: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Government-sponsored enterprises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b/>
              </w:rPr>
            </w:pPr>
            <w:r>
              <w:rPr>
                <w:b/>
              </w:rPr>
              <w:t>127,009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b/>
              </w:rPr>
            </w:pPr>
            <w:r>
              <w:rPr>
                <w:b/>
              </w:rPr>
              <w:t>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b/>
              </w:rPr>
            </w:pPr>
            <w:r>
              <w:rPr>
                <w:b/>
              </w:rPr>
              <w:t>(6,394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b/>
              </w:rPr>
            </w:pPr>
            <w:r>
              <w:rPr>
                <w:b/>
              </w:rPr>
              <w:t>120,687</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U.S. government agency securities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b/>
              </w:rPr>
            </w:pPr>
            <w:r>
              <w:rPr>
                <w:b/>
              </w:rPr>
              <w:t>55,640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b/>
              </w:rPr>
            </w:pPr>
            <w:r>
              <w:rPr>
                <w:b/>
              </w:rPr>
              <w:t>(9,073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b/>
              </w:rPr>
            </w:pPr>
            <w:r>
              <w:rPr>
                <w:b/>
              </w:rPr>
              <w:t>46,567</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State &amp; municipal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02" w:type="dxa"/>
            <w:tcBorders>
              <w:bottom w:val="double" w:sz="8" w:space="0" w:color="000000"/>
            </w:tcBorders>
            <w:tcMar>
              <w:bottom w:w="28" w:type="dxa"/>
            </w:tcMar>
            <w:vAlign w:val="center"/>
          </w:tcPr>
          <w:p>
            <w:pPr>
              <w:pStyle w:val="TableContents"/>
              <w:bidi w:val="0"/>
              <w:spacing w:before="0" w:after="283"/>
              <w:jc w:val="left"/>
              <w:rPr/>
            </w:pPr>
            <w:r>
              <w:rPr/>
              <w:t> </w:t>
            </w:r>
          </w:p>
        </w:tc>
        <w:tc>
          <w:tcPr>
            <w:tcW w:w="987" w:type="dxa"/>
            <w:tcBorders>
              <w:bottom w:val="double" w:sz="8" w:space="0" w:color="000000"/>
            </w:tcBorders>
            <w:tcMar>
              <w:bottom w:w="28" w:type="dxa"/>
            </w:tcMar>
            <w:vAlign w:val="center"/>
          </w:tcPr>
          <w:p>
            <w:pPr>
              <w:pStyle w:val="TableContents"/>
              <w:bidi w:val="0"/>
              <w:spacing w:before="0" w:after="283"/>
              <w:jc w:val="right"/>
              <w:rPr>
                <w:b/>
              </w:rPr>
            </w:pPr>
            <w:r>
              <w:rPr>
                <w:b/>
              </w:rPr>
              <w:t>280,960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357" w:type="dxa"/>
            <w:tcBorders>
              <w:bottom w:val="double" w:sz="8" w:space="0" w:color="000000"/>
            </w:tcBorders>
            <w:tcMar>
              <w:bottom w:w="28" w:type="dxa"/>
            </w:tcMar>
            <w:vAlign w:val="center"/>
          </w:tcPr>
          <w:p>
            <w:pPr>
              <w:pStyle w:val="TableContents"/>
              <w:bidi w:val="0"/>
              <w:spacing w:before="0" w:after="283"/>
              <w:jc w:val="left"/>
              <w:rPr/>
            </w:pPr>
            <w:r>
              <w:rPr/>
              <w:t> </w:t>
            </w:r>
          </w:p>
        </w:tc>
        <w:tc>
          <w:tcPr>
            <w:tcW w:w="862" w:type="dxa"/>
            <w:tcBorders>
              <w:bottom w:val="double" w:sz="8" w:space="0" w:color="000000"/>
            </w:tcBorders>
            <w:tcMar>
              <w:bottom w:w="28" w:type="dxa"/>
            </w:tcMar>
            <w:vAlign w:val="center"/>
          </w:tcPr>
          <w:p>
            <w:pPr>
              <w:pStyle w:val="TableContents"/>
              <w:bidi w:val="0"/>
              <w:spacing w:before="0" w:after="283"/>
              <w:jc w:val="right"/>
              <w:rPr>
                <w:b/>
              </w:rPr>
            </w:pPr>
            <w:r>
              <w:rPr>
                <w:b/>
              </w:rPr>
              <w:t>56</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16" w:type="dxa"/>
            <w:tcBorders>
              <w:bottom w:val="double" w:sz="8" w:space="0" w:color="000000"/>
            </w:tcBorders>
            <w:tcMar>
              <w:bottom w:w="28" w:type="dxa"/>
            </w:tcMar>
            <w:vAlign w:val="center"/>
          </w:tcPr>
          <w:p>
            <w:pPr>
              <w:pStyle w:val="TableContents"/>
              <w:bidi w:val="0"/>
              <w:spacing w:before="0" w:after="283"/>
              <w:jc w:val="left"/>
              <w:rPr/>
            </w:pPr>
            <w:r>
              <w:rPr/>
              <w:t> </w:t>
            </w:r>
          </w:p>
        </w:tc>
        <w:tc>
          <w:tcPr>
            <w:tcW w:w="1003" w:type="dxa"/>
            <w:tcBorders>
              <w:bottom w:val="double" w:sz="8" w:space="0" w:color="000000"/>
            </w:tcBorders>
            <w:tcMar>
              <w:bottom w:w="28" w:type="dxa"/>
            </w:tcMar>
            <w:vAlign w:val="center"/>
          </w:tcPr>
          <w:p>
            <w:pPr>
              <w:pStyle w:val="TableContents"/>
              <w:bidi w:val="0"/>
              <w:spacing w:before="0" w:after="283"/>
              <w:jc w:val="right"/>
              <w:rPr>
                <w:b/>
              </w:rPr>
            </w:pPr>
            <w:r>
              <w:rPr>
                <w:b/>
              </w:rPr>
              <w:t>(11,722</w:t>
            </w:r>
          </w:p>
        </w:tc>
        <w:tc>
          <w:tcPr>
            <w:tcW w:w="185" w:type="dxa"/>
            <w:tcBorders>
              <w:bottom w:val="double" w:sz="8"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03" w:type="dxa"/>
            <w:tcBorders>
              <w:bottom w:val="double" w:sz="8" w:space="0" w:color="000000"/>
            </w:tcBorders>
            <w:tcMar>
              <w:bottom w:w="28" w:type="dxa"/>
            </w:tcMar>
            <w:vAlign w:val="center"/>
          </w:tcPr>
          <w:p>
            <w:pPr>
              <w:pStyle w:val="TableContents"/>
              <w:bidi w:val="0"/>
              <w:spacing w:before="0" w:after="283"/>
              <w:jc w:val="left"/>
              <w:rPr/>
            </w:pPr>
            <w:r>
              <w:rPr/>
              <w:t> </w:t>
            </w:r>
          </w:p>
        </w:tc>
        <w:tc>
          <w:tcPr>
            <w:tcW w:w="1001" w:type="dxa"/>
            <w:tcBorders>
              <w:bottom w:val="double" w:sz="8" w:space="0" w:color="000000"/>
            </w:tcBorders>
            <w:tcMar>
              <w:bottom w:w="28" w:type="dxa"/>
            </w:tcMar>
            <w:vAlign w:val="center"/>
          </w:tcPr>
          <w:p>
            <w:pPr>
              <w:pStyle w:val="TableContents"/>
              <w:bidi w:val="0"/>
              <w:spacing w:before="0" w:after="283"/>
              <w:jc w:val="right"/>
              <w:rPr>
                <w:b/>
              </w:rPr>
            </w:pPr>
            <w:r>
              <w:rPr>
                <w:b/>
              </w:rPr>
              <w:t>269,294</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353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HTM securities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8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755,086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357"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6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128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03"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(62,525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01"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692,689</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b/>
              </w:rPr>
              <w:t>As of December 31, 2025</w:t>
            </w:r>
            <w:r>
              <w:rPr/>
              <w:t xml:space="preserve">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Federal agency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(10,705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89,295</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Mortgage-backed: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Government-sponsored enterprises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188,942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(23,273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165,669</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U.S. government agency securities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13,659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13,554</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Collateralized mortgage obligations: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xml:space="preserve">Government-sponsored enterprises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136,464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115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(5,293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131,286</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pPr>
            <w:r>
              <w:rPr/>
              <w:t xml:space="preserve">U.S. government agency securities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57,309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(9,396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47,913</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State &amp; municipal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tcMar>
              <w:bottom w:w="28" w:type="dxa"/>
            </w:tcMar>
            <w:vAlign w:val="center"/>
          </w:tcPr>
          <w:p>
            <w:pPr>
              <w:pStyle w:val="TableContents"/>
              <w:bidi w:val="0"/>
              <w:spacing w:before="0" w:after="283"/>
              <w:jc w:val="right"/>
              <w:rPr/>
            </w:pPr>
            <w:r>
              <w:rPr/>
              <w:t>266,382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57"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283"/>
              <w:jc w:val="right"/>
              <w:rPr/>
            </w:pPr>
            <w:r>
              <w:rPr/>
              <w:t>76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tcMar>
              <w:bottom w:w="28" w:type="dxa"/>
            </w:tcMar>
            <w:vAlign w:val="center"/>
          </w:tcPr>
          <w:p>
            <w:pPr>
              <w:pStyle w:val="TableContents"/>
              <w:bidi w:val="0"/>
              <w:spacing w:before="0" w:after="283"/>
              <w:jc w:val="right"/>
              <w:rPr/>
            </w:pPr>
            <w:r>
              <w:rPr/>
              <w:t>(11,598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tcMar>
              <w:bottom w:w="28" w:type="dxa"/>
            </w:tcMar>
            <w:vAlign w:val="center"/>
          </w:tcPr>
          <w:p>
            <w:pPr>
              <w:pStyle w:val="TableContents"/>
              <w:bidi w:val="0"/>
              <w:spacing w:before="0" w:after="283"/>
              <w:jc w:val="right"/>
              <w:rPr/>
            </w:pPr>
            <w:r>
              <w:rPr/>
              <w:t>254,860</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53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HTM securities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double" w:sz="8" w:space="0" w:color="000000"/>
            </w:tcBorders>
            <w:shd w:fill="CCEEFF" w:val="clear"/>
            <w:tcMar>
              <w:bottom w:w="28" w:type="dxa"/>
            </w:tcMar>
            <w:vAlign w:val="center"/>
          </w:tcPr>
          <w:p>
            <w:pPr>
              <w:pStyle w:val="TableContents"/>
              <w:bidi w:val="0"/>
              <w:spacing w:before="0" w:after="283"/>
              <w:jc w:val="right"/>
              <w:rPr/>
            </w:pPr>
            <w:r>
              <w:rPr/>
              <w:t>762,756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357"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8" w:space="0" w:color="000000"/>
            </w:tcBorders>
            <w:shd w:fill="CCEEFF" w:val="clear"/>
            <w:tcMar>
              <w:bottom w:w="28" w:type="dxa"/>
            </w:tcMar>
            <w:vAlign w:val="center"/>
          </w:tcPr>
          <w:p>
            <w:pPr>
              <w:pStyle w:val="TableContents"/>
              <w:bidi w:val="0"/>
              <w:spacing w:before="0" w:after="283"/>
              <w:jc w:val="right"/>
              <w:rPr/>
            </w:pPr>
            <w:r>
              <w:rPr/>
              <w:t>192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03" w:type="dxa"/>
            <w:tcBorders>
              <w:bottom w:val="double" w:sz="8" w:space="0" w:color="000000"/>
            </w:tcBorders>
            <w:shd w:fill="CCEEFF" w:val="clear"/>
            <w:tcMar>
              <w:bottom w:w="28" w:type="dxa"/>
            </w:tcMar>
            <w:vAlign w:val="center"/>
          </w:tcPr>
          <w:p>
            <w:pPr>
              <w:pStyle w:val="TableContents"/>
              <w:bidi w:val="0"/>
              <w:spacing w:before="0" w:after="283"/>
              <w:jc w:val="right"/>
              <w:rPr/>
            </w:pPr>
            <w:r>
              <w:rPr/>
              <w:t>(60,371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01" w:type="dxa"/>
            <w:tcBorders>
              <w:bottom w:val="double" w:sz="8" w:space="0" w:color="000000"/>
            </w:tcBorders>
            <w:shd w:fill="CCEEFF" w:val="clear"/>
            <w:tcMar>
              <w:bottom w:w="28" w:type="dxa"/>
            </w:tcMar>
            <w:vAlign w:val="center"/>
          </w:tcPr>
          <w:p>
            <w:pPr>
              <w:pStyle w:val="TableContents"/>
              <w:bidi w:val="0"/>
              <w:spacing w:before="0" w:after="283"/>
              <w:jc w:val="right"/>
              <w:rPr/>
            </w:pPr>
            <w:r>
              <w:rPr/>
              <w:t>702,577</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 June 30, 2026 and December 31, 2025 all of the mortgage-backed HTM securities were comprised of U.S. government agency and government-sponsored enterprises securities.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recorded no gains from calls on HTM securities for the three and six months ended June 30, 2026 and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AFS and HTM securities with amortized costs totaling $1.80 billion at June 30, 2026 and $1.87 billion at December 31, 2025, were pledged to secure public deposits and for other purposes required or permitted by law. Additionally, at June 30, 2026 and December 31, 2025, AFS and HTM securities with an amortized cost of $209.6 million and $207.6 million, respectively, were pledged as collateral for securities sold under repurchase agreements.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set forth information with regard to gains and (losses) on equity securities: </w:t>
      </w:r>
    </w:p>
    <w:p>
      <w:pPr>
        <w:pStyle w:val="TextBody"/>
        <w:bidi w:val="0"/>
        <w:spacing w:before="0" w:after="0"/>
        <w:jc w:val="left"/>
        <w:rPr/>
      </w:pPr>
      <w:r>
        <w:rPr/>
        <w:t xml:space="preserve">  </w:t>
      </w:r>
    </w:p>
    <w:tbl>
      <w:tblPr>
        <w:tblW w:w="10123" w:type="dxa"/>
        <w:jc w:val="left"/>
        <w:tblInd w:w="0" w:type="dxa"/>
        <w:tblLayout w:type="fixed"/>
        <w:tblCellMar>
          <w:top w:w="0" w:type="dxa"/>
          <w:left w:w="0" w:type="dxa"/>
          <w:bottom w:w="0" w:type="dxa"/>
          <w:right w:w="0" w:type="dxa"/>
        </w:tblCellMar>
      </w:tblPr>
      <w:tblGrid>
        <w:gridCol w:w="7445"/>
        <w:gridCol w:w="90"/>
        <w:gridCol w:w="236"/>
        <w:gridCol w:w="819"/>
        <w:gridCol w:w="124"/>
        <w:gridCol w:w="124"/>
        <w:gridCol w:w="236"/>
        <w:gridCol w:w="819"/>
        <w:gridCol w:w="230"/>
      </w:tblGrid>
      <w:tr>
        <w:trPr/>
        <w:tc>
          <w:tcPr>
            <w:tcW w:w="7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58" w:type="dxa"/>
            <w:gridSpan w:val="6"/>
            <w:tcBorders/>
            <w:vAlign w:val="center"/>
          </w:tcPr>
          <w:p>
            <w:pPr>
              <w:pStyle w:val="TableContents"/>
              <w:bidi w:val="0"/>
              <w:spacing w:before="0" w:after="283"/>
              <w:jc w:val="center"/>
              <w:rPr/>
            </w:pPr>
            <w:r>
              <w:rPr>
                <w:b/>
              </w:rPr>
              <w:t>Three Months Ended</w:t>
            </w:r>
            <w:r>
              <w:rPr/>
              <w:t xml:space="preserve">  </w:t>
            </w:r>
          </w:p>
        </w:tc>
        <w:tc>
          <w:tcPr>
            <w:tcW w:w="230" w:type="dxa"/>
            <w:tcBorders/>
            <w:vAlign w:val="center"/>
          </w:tcPr>
          <w:p>
            <w:pPr>
              <w:pStyle w:val="TableContents"/>
              <w:bidi w:val="0"/>
              <w:spacing w:before="0" w:after="283"/>
              <w:jc w:val="center"/>
              <w:rPr/>
            </w:pPr>
            <w:r>
              <w:rPr/>
              <w:t> </w:t>
            </w:r>
          </w:p>
        </w:tc>
      </w:tr>
      <w:tr>
        <w:trPr/>
        <w:tc>
          <w:tcPr>
            <w:tcW w:w="7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358" w:type="dxa"/>
            <w:gridSpan w:val="6"/>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44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3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19"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2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3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19"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445" w:type="dxa"/>
            <w:tcBorders/>
            <w:shd w:fill="CCEEFF" w:val="clear"/>
            <w:vAlign w:val="center"/>
          </w:tcPr>
          <w:p>
            <w:pPr>
              <w:pStyle w:val="TableContents"/>
              <w:bidi w:val="0"/>
              <w:spacing w:before="0" w:after="0"/>
              <w:ind w:left="0" w:right="0" w:hanging="144"/>
              <w:jc w:val="left"/>
              <w:rPr/>
            </w:pPr>
            <w:r>
              <w:rPr/>
              <w:t xml:space="preserve">Net gains (losses) recognized on equity securities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b/>
              </w:rPr>
            </w:pPr>
            <w:r>
              <w:rPr>
                <w:b/>
              </w:rPr>
              <w:t>$</w:t>
            </w:r>
          </w:p>
        </w:tc>
        <w:tc>
          <w:tcPr>
            <w:tcW w:w="819" w:type="dxa"/>
            <w:tcBorders/>
            <w:shd w:fill="CCEEFF" w:val="clear"/>
            <w:vAlign w:val="center"/>
          </w:tcPr>
          <w:p>
            <w:pPr>
              <w:pStyle w:val="TableContents"/>
              <w:bidi w:val="0"/>
              <w:spacing w:before="0" w:after="283"/>
              <w:jc w:val="right"/>
              <w:rPr>
                <w:b/>
              </w:rPr>
            </w:pPr>
            <w:r>
              <w:rPr>
                <w:b/>
              </w:rPr>
              <w:t>175</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112</w:t>
            </w:r>
          </w:p>
        </w:tc>
        <w:tc>
          <w:tcPr>
            <w:tcW w:w="230" w:type="dxa"/>
            <w:tcBorders/>
            <w:shd w:fill="CCEEFF" w:val="clear"/>
            <w:vAlign w:val="center"/>
          </w:tcPr>
          <w:p>
            <w:pPr>
              <w:pStyle w:val="TableContents"/>
              <w:bidi w:val="0"/>
              <w:spacing w:before="0" w:after="283"/>
              <w:jc w:val="left"/>
              <w:rPr/>
            </w:pPr>
            <w:r>
              <w:rPr/>
              <w:t> </w:t>
            </w:r>
          </w:p>
        </w:tc>
      </w:tr>
      <w:tr>
        <w:trPr/>
        <w:tc>
          <w:tcPr>
            <w:tcW w:w="744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Less: Net gains (losses) recognized on equity securities sold during the period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 w:type="dxa"/>
            <w:tcBorders>
              <w:bottom w:val="single" w:sz="12" w:space="0" w:color="000000"/>
            </w:tcBorders>
            <w:tcMar>
              <w:bottom w:w="28" w:type="dxa"/>
            </w:tcMar>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tcMar>
              <w:bottom w:w="28" w:type="dxa"/>
            </w:tcMar>
            <w:vAlign w:val="center"/>
          </w:tcPr>
          <w:p>
            <w:pPr>
              <w:pStyle w:val="TableContents"/>
              <w:bidi w:val="0"/>
              <w:spacing w:before="0" w:after="283"/>
              <w:jc w:val="right"/>
              <w:rPr/>
            </w:pPr>
            <w:r>
              <w:rPr/>
              <w:t>(35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45"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Unrealized gains (losses) recognized on equity securities still held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19"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175</w:t>
            </w:r>
          </w:p>
        </w:tc>
        <w:tc>
          <w:tcPr>
            <w:tcW w:w="12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8" w:space="0" w:color="000000"/>
            </w:tcBorders>
            <w:shd w:fill="CCEEFF" w:val="clear"/>
            <w:tcMar>
              <w:bottom w:w="28" w:type="dxa"/>
            </w:tcMar>
            <w:vAlign w:val="center"/>
          </w:tcPr>
          <w:p>
            <w:pPr>
              <w:pStyle w:val="TableContents"/>
              <w:bidi w:val="0"/>
              <w:spacing w:before="0" w:after="283"/>
              <w:jc w:val="right"/>
              <w:rPr/>
            </w:pPr>
            <w:r>
              <w:rPr/>
              <w:t>147</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9823" w:type="dxa"/>
        <w:jc w:val="left"/>
        <w:tblInd w:w="0" w:type="dxa"/>
        <w:tblLayout w:type="fixed"/>
        <w:tblCellMar>
          <w:top w:w="0" w:type="dxa"/>
          <w:left w:w="0" w:type="dxa"/>
          <w:bottom w:w="0" w:type="dxa"/>
          <w:right w:w="0" w:type="dxa"/>
        </w:tblCellMar>
      </w:tblPr>
      <w:tblGrid>
        <w:gridCol w:w="7445"/>
        <w:gridCol w:w="90"/>
        <w:gridCol w:w="206"/>
        <w:gridCol w:w="714"/>
        <w:gridCol w:w="109"/>
        <w:gridCol w:w="109"/>
        <w:gridCol w:w="206"/>
        <w:gridCol w:w="714"/>
        <w:gridCol w:w="230"/>
      </w:tblGrid>
      <w:tr>
        <w:trPr/>
        <w:tc>
          <w:tcPr>
            <w:tcW w:w="7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58" w:type="dxa"/>
            <w:gridSpan w:val="6"/>
            <w:tcBorders/>
            <w:vAlign w:val="center"/>
          </w:tcPr>
          <w:p>
            <w:pPr>
              <w:pStyle w:val="TableContents"/>
              <w:bidi w:val="0"/>
              <w:spacing w:before="0" w:after="283"/>
              <w:jc w:val="center"/>
              <w:rPr/>
            </w:pPr>
            <w:r>
              <w:rPr>
                <w:b/>
              </w:rPr>
              <w:t>Six Months Ended</w:t>
            </w:r>
            <w:r>
              <w:rPr/>
              <w:t xml:space="preserve">  </w:t>
            </w:r>
          </w:p>
        </w:tc>
        <w:tc>
          <w:tcPr>
            <w:tcW w:w="230" w:type="dxa"/>
            <w:tcBorders/>
            <w:vAlign w:val="center"/>
          </w:tcPr>
          <w:p>
            <w:pPr>
              <w:pStyle w:val="TableContents"/>
              <w:bidi w:val="0"/>
              <w:spacing w:before="0" w:after="283"/>
              <w:jc w:val="center"/>
              <w:rPr/>
            </w:pPr>
            <w:r>
              <w:rPr/>
              <w:t> </w:t>
            </w:r>
          </w:p>
        </w:tc>
      </w:tr>
      <w:tr>
        <w:trPr/>
        <w:tc>
          <w:tcPr>
            <w:tcW w:w="7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58" w:type="dxa"/>
            <w:gridSpan w:val="6"/>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44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4"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9"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14"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445" w:type="dxa"/>
            <w:tcBorders/>
            <w:shd w:fill="CCEEFF" w:val="clear"/>
            <w:vAlign w:val="center"/>
          </w:tcPr>
          <w:p>
            <w:pPr>
              <w:pStyle w:val="TableContents"/>
              <w:bidi w:val="0"/>
              <w:spacing w:before="0" w:after="0"/>
              <w:ind w:left="0" w:right="0" w:hanging="144"/>
              <w:jc w:val="left"/>
              <w:rPr/>
            </w:pPr>
            <w:r>
              <w:rPr/>
              <w:t xml:space="preserve">Net gains (losses) recognized on equity securities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b/>
              </w:rPr>
            </w:pPr>
            <w:r>
              <w:rPr>
                <w:b/>
              </w:rPr>
              <w:t>$</w:t>
            </w:r>
          </w:p>
        </w:tc>
        <w:tc>
          <w:tcPr>
            <w:tcW w:w="714" w:type="dxa"/>
            <w:tcBorders/>
            <w:shd w:fill="CCEEFF" w:val="clear"/>
            <w:vAlign w:val="center"/>
          </w:tcPr>
          <w:p>
            <w:pPr>
              <w:pStyle w:val="TableContents"/>
              <w:bidi w:val="0"/>
              <w:spacing w:before="0" w:after="283"/>
              <w:jc w:val="right"/>
              <w:rPr>
                <w:b/>
              </w:rPr>
            </w:pPr>
            <w:r>
              <w:rPr>
                <w:b/>
              </w:rPr>
              <w:t>617</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8</w:t>
            </w:r>
          </w:p>
        </w:tc>
        <w:tc>
          <w:tcPr>
            <w:tcW w:w="230" w:type="dxa"/>
            <w:tcBorders/>
            <w:shd w:fill="CCEEFF" w:val="clear"/>
            <w:vAlign w:val="center"/>
          </w:tcPr>
          <w:p>
            <w:pPr>
              <w:pStyle w:val="TableContents"/>
              <w:bidi w:val="0"/>
              <w:spacing w:before="0" w:after="283"/>
              <w:jc w:val="left"/>
              <w:rPr/>
            </w:pPr>
            <w:r>
              <w:rPr/>
              <w:t> </w:t>
            </w:r>
          </w:p>
        </w:tc>
      </w:tr>
      <w:tr>
        <w:trPr/>
        <w:tc>
          <w:tcPr>
            <w:tcW w:w="744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Less: Net gains (losses) recognized on equity securities sold during the period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tcMar>
              <w:bottom w:w="28" w:type="dxa"/>
            </w:tcMar>
            <w:vAlign w:val="center"/>
          </w:tcPr>
          <w:p>
            <w:pPr>
              <w:pStyle w:val="TableContents"/>
              <w:bidi w:val="0"/>
              <w:spacing w:before="0" w:after="283"/>
              <w:jc w:val="right"/>
              <w:rPr/>
            </w:pPr>
            <w:r>
              <w:rPr/>
              <w:t>(35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45"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Unrealized gains (losses) recognized on equity securities still held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14"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617</w:t>
            </w:r>
          </w:p>
        </w:tc>
        <w:tc>
          <w:tcPr>
            <w:tcW w:w="10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8" w:space="0" w:color="000000"/>
            </w:tcBorders>
            <w:shd w:fill="CCEEFF" w:val="clear"/>
            <w:tcMar>
              <w:bottom w:w="28" w:type="dxa"/>
            </w:tcMar>
            <w:vAlign w:val="center"/>
          </w:tcPr>
          <w:p>
            <w:pPr>
              <w:pStyle w:val="TableContents"/>
              <w:bidi w:val="0"/>
              <w:spacing w:before="0" w:after="283"/>
              <w:jc w:val="right"/>
              <w:rPr/>
            </w:pPr>
            <w:r>
              <w:rPr/>
              <w:t>43</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June 30, 2026 and December 31, 2025, the carrying value of equity securities without readily determinable fair values was $1.0 million. The Company performed a qualitative assessment to determine whether the investments were impaired and identified no areas of credit concern as of June 30, 2026 and 2025. There were no impairments, or downward or upward adjustments recognized for equity securities without readily determinable fair values during the three and six months ended June 30, 2026 and 2025.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sets forth information with regard to contractual maturities of debt securities at June 30, 2026: </w:t>
      </w:r>
    </w:p>
    <w:p>
      <w:pPr>
        <w:pStyle w:val="TextBody"/>
        <w:bidi w:val="0"/>
        <w:spacing w:before="0" w:after="0"/>
        <w:jc w:val="left"/>
        <w:rPr/>
      </w:pPr>
      <w:r>
        <w:rPr/>
        <w:t xml:space="preserve">  </w:t>
      </w:r>
    </w:p>
    <w:tbl>
      <w:tblPr>
        <w:tblW w:w="5413" w:type="dxa"/>
        <w:jc w:val="left"/>
        <w:tblInd w:w="0" w:type="dxa"/>
        <w:tblLayout w:type="fixed"/>
        <w:tblCellMar>
          <w:top w:w="0" w:type="dxa"/>
          <w:left w:w="0" w:type="dxa"/>
          <w:bottom w:w="0" w:type="dxa"/>
          <w:right w:w="0" w:type="dxa"/>
        </w:tblCellMar>
      </w:tblPr>
      <w:tblGrid>
        <w:gridCol w:w="2615"/>
        <w:gridCol w:w="90"/>
        <w:gridCol w:w="171"/>
        <w:gridCol w:w="1018"/>
        <w:gridCol w:w="90"/>
        <w:gridCol w:w="90"/>
        <w:gridCol w:w="173"/>
        <w:gridCol w:w="1031"/>
        <w:gridCol w:w="135"/>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89" w:type="dxa"/>
            <w:gridSpan w:val="2"/>
            <w:tcBorders/>
            <w:vAlign w:val="center"/>
          </w:tcPr>
          <w:p>
            <w:pPr>
              <w:pStyle w:val="TableContents"/>
              <w:bidi w:val="0"/>
              <w:spacing w:before="0" w:after="283"/>
              <w:jc w:val="center"/>
              <w:rPr/>
            </w:pPr>
            <w:r>
              <w:rPr>
                <w:b/>
              </w:rPr>
              <w:t>Amortized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4" w:type="dxa"/>
            <w:gridSpan w:val="2"/>
            <w:tcBorders/>
            <w:vAlign w:val="center"/>
          </w:tcPr>
          <w:p>
            <w:pPr>
              <w:pStyle w:val="TableContents"/>
              <w:bidi w:val="0"/>
              <w:spacing w:before="0" w:after="283"/>
              <w:jc w:val="center"/>
              <w:rPr/>
            </w:pPr>
            <w:r>
              <w:rPr>
                <w:b/>
              </w:rPr>
              <w:t>Estimated</w:t>
            </w:r>
            <w:r>
              <w:rPr/>
              <w:t xml:space="preserve"> </w:t>
            </w:r>
          </w:p>
        </w:tc>
        <w:tc>
          <w:tcPr>
            <w:tcW w:w="135" w:type="dxa"/>
            <w:tcBorders/>
            <w:vAlign w:val="center"/>
          </w:tcPr>
          <w:p>
            <w:pPr>
              <w:pStyle w:val="TableContents"/>
              <w:bidi w:val="0"/>
              <w:spacing w:before="0" w:after="283"/>
              <w:jc w:val="center"/>
              <w:rPr/>
            </w:pPr>
            <w:r>
              <w:rPr/>
              <w:t> </w:t>
            </w:r>
          </w:p>
        </w:tc>
      </w:tr>
      <w:tr>
        <w:trPr/>
        <w:tc>
          <w:tcPr>
            <w:tcW w:w="261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pPr>
            <w:r>
              <w:rPr>
                <w:b/>
              </w:rPr>
              <w:t>Cost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pPr>
            <w:r>
              <w:rPr>
                <w:b/>
              </w:rPr>
              <w:t>Fair Value</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615" w:type="dxa"/>
            <w:tcBorders/>
            <w:vAlign w:val="center"/>
          </w:tcPr>
          <w:p>
            <w:pPr>
              <w:pStyle w:val="TableContents"/>
              <w:bidi w:val="0"/>
              <w:spacing w:before="0" w:after="0"/>
              <w:ind w:left="0" w:right="0" w:hanging="144"/>
              <w:jc w:val="left"/>
              <w:rPr/>
            </w:pPr>
            <w:r>
              <w:rPr/>
              <w:t xml:space="preserve">AFS debt securities: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144"/>
              <w:jc w:val="left"/>
              <w:rPr/>
            </w:pPr>
            <w:r>
              <w:rPr/>
              <w:t xml:space="preserve">Within one year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b/>
              </w:rPr>
            </w:pPr>
            <w:r>
              <w:rPr>
                <w:b/>
              </w:rPr>
              <w:t>$</w:t>
            </w:r>
          </w:p>
        </w:tc>
        <w:tc>
          <w:tcPr>
            <w:tcW w:w="1018" w:type="dxa"/>
            <w:tcBorders/>
            <w:shd w:fill="CCEEFF" w:val="clear"/>
            <w:vAlign w:val="center"/>
          </w:tcPr>
          <w:p>
            <w:pPr>
              <w:pStyle w:val="TableContents"/>
              <w:bidi w:val="0"/>
              <w:spacing w:before="0" w:after="283"/>
              <w:jc w:val="right"/>
              <w:rPr>
                <w:b/>
              </w:rPr>
            </w:pPr>
            <w:r>
              <w:rPr>
                <w:b/>
              </w:rPr>
              <w:t>79,941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b/>
              </w:rPr>
            </w:pPr>
            <w:r>
              <w:rPr>
                <w:b/>
              </w:rPr>
              <w:t>$</w:t>
            </w:r>
          </w:p>
        </w:tc>
        <w:tc>
          <w:tcPr>
            <w:tcW w:w="1031" w:type="dxa"/>
            <w:tcBorders/>
            <w:shd w:fill="CCEEFF" w:val="clear"/>
            <w:vAlign w:val="center"/>
          </w:tcPr>
          <w:p>
            <w:pPr>
              <w:pStyle w:val="TableContents"/>
              <w:bidi w:val="0"/>
              <w:spacing w:before="0" w:after="283"/>
              <w:jc w:val="right"/>
              <w:rPr>
                <w:b/>
              </w:rPr>
            </w:pPr>
            <w:r>
              <w:rPr>
                <w:b/>
              </w:rPr>
              <w:t>78,871</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144"/>
              <w:jc w:val="left"/>
              <w:rPr/>
            </w:pPr>
            <w:r>
              <w:rPr/>
              <w:t xml:space="preserve">From one to five years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688,941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b/>
              </w:rPr>
            </w:pPr>
            <w:r>
              <w:rPr>
                <w:b/>
              </w:rPr>
              <w:t>656,741</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144"/>
              <w:jc w:val="left"/>
              <w:rPr/>
            </w:pPr>
            <w:r>
              <w:rPr/>
              <w:t xml:space="preserve">From five to ten years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b/>
              </w:rPr>
            </w:pPr>
            <w:r>
              <w:rPr>
                <w:b/>
              </w:rPr>
              <w:t>303,675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b/>
              </w:rPr>
            </w:pPr>
            <w:r>
              <w:rPr>
                <w:b/>
              </w:rPr>
              <w:t>284,892</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After ten years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b/>
              </w:rPr>
            </w:pPr>
            <w:r>
              <w:rPr>
                <w:b/>
              </w:rPr>
              <w:t>1,038,361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b/>
              </w:rPr>
            </w:pPr>
            <w:r>
              <w:rPr>
                <w:b/>
              </w:rPr>
              <w:t>985,702</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15"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AFS debt securities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2,110,918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31"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2,006,206</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144"/>
              <w:jc w:val="left"/>
              <w:rPr/>
            </w:pPr>
            <w:r>
              <w:rPr/>
              <w:t xml:space="preserve">HTM debt securities: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144"/>
              <w:jc w:val="left"/>
              <w:rPr/>
            </w:pPr>
            <w:r>
              <w:rPr/>
              <w:t xml:space="preserve">Within one year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b/>
              </w:rPr>
            </w:pPr>
            <w:r>
              <w:rPr>
                <w:b/>
              </w:rPr>
              <w:t>$</w:t>
            </w:r>
          </w:p>
        </w:tc>
        <w:tc>
          <w:tcPr>
            <w:tcW w:w="1018" w:type="dxa"/>
            <w:tcBorders/>
            <w:shd w:fill="CCEEFF" w:val="clear"/>
            <w:vAlign w:val="center"/>
          </w:tcPr>
          <w:p>
            <w:pPr>
              <w:pStyle w:val="TableContents"/>
              <w:bidi w:val="0"/>
              <w:spacing w:before="0" w:after="283"/>
              <w:jc w:val="right"/>
              <w:rPr>
                <w:b/>
              </w:rPr>
            </w:pPr>
            <w:r>
              <w:rPr>
                <w:b/>
              </w:rPr>
              <w:t>122,217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b/>
              </w:rPr>
            </w:pPr>
            <w:r>
              <w:rPr>
                <w:b/>
              </w:rPr>
              <w:t>$</w:t>
            </w:r>
          </w:p>
        </w:tc>
        <w:tc>
          <w:tcPr>
            <w:tcW w:w="1031" w:type="dxa"/>
            <w:tcBorders/>
            <w:shd w:fill="CCEEFF" w:val="clear"/>
            <w:vAlign w:val="center"/>
          </w:tcPr>
          <w:p>
            <w:pPr>
              <w:pStyle w:val="TableContents"/>
              <w:bidi w:val="0"/>
              <w:spacing w:before="0" w:after="283"/>
              <w:jc w:val="right"/>
              <w:rPr>
                <w:b/>
              </w:rPr>
            </w:pPr>
            <w:r>
              <w:rPr>
                <w:b/>
              </w:rPr>
              <w:t>122,161</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ind w:left="0" w:right="0" w:hanging="144"/>
              <w:jc w:val="left"/>
              <w:rPr/>
            </w:pPr>
            <w:r>
              <w:rPr/>
              <w:t xml:space="preserve">From one to five years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222,517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b/>
              </w:rPr>
            </w:pPr>
            <w:r>
              <w:rPr>
                <w:b/>
              </w:rPr>
              <w:t>206,822</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144"/>
              <w:jc w:val="left"/>
              <w:rPr/>
            </w:pPr>
            <w:r>
              <w:rPr/>
              <w:t xml:space="preserve">From five to ten years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b/>
              </w:rPr>
            </w:pPr>
            <w:r>
              <w:rPr>
                <w:b/>
              </w:rPr>
              <w:t>93,543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b/>
              </w:rPr>
            </w:pPr>
            <w:r>
              <w:rPr>
                <w:b/>
              </w:rPr>
              <w:t>85,389</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After ten years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b/>
              </w:rPr>
            </w:pPr>
            <w:r>
              <w:rPr>
                <w:b/>
              </w:rPr>
              <w:t>316,809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b/>
              </w:rPr>
            </w:pPr>
            <w:r>
              <w:rPr>
                <w:b/>
              </w:rPr>
              <w:t>278,317</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615"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HTM debt securities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755,086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31"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692,689</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Maturities of mortgage-backed, collateralized mortgage obligations and asset-backed securities are stated based on their estimated average lives. Actual maturities may differ from estimated average lives or contractual maturities because, in certain cases, borrowers have the right to call or prepay obligations, with or without call or prepayment penalties.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Except for U.S. government securities and government-sponsored enterprises securities, there were no holdings, when taken in the aggregate, of any single issuer that exceeded 10% of consolidated stockholders’ equity at June 30, 2026 and December 31,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sets forth information with regard to investment securities with unrealized losses, for which an allowance for credit losses has not been recorded, segregated according to the length of time the securities were in a continuous unrealized loss position: </w:t>
      </w:r>
    </w:p>
    <w:p>
      <w:pPr>
        <w:pStyle w:val="TextBody"/>
        <w:bidi w:val="0"/>
        <w:spacing w:before="0" w:after="0"/>
        <w:jc w:val="both"/>
        <w:rPr/>
      </w:pPr>
      <w:r>
        <w:rPr/>
        <w:t xml:space="preserve">  </w:t>
      </w:r>
    </w:p>
    <w:tbl>
      <w:tblPr>
        <w:tblW w:w="13241" w:type="dxa"/>
        <w:jc w:val="left"/>
        <w:tblInd w:w="0" w:type="dxa"/>
        <w:tblLayout w:type="fixed"/>
        <w:tblCellMar>
          <w:top w:w="0" w:type="dxa"/>
          <w:left w:w="0" w:type="dxa"/>
          <w:bottom w:w="0" w:type="dxa"/>
          <w:right w:w="0" w:type="dxa"/>
        </w:tblCellMar>
      </w:tblPr>
      <w:tblGrid>
        <w:gridCol w:w="1586"/>
        <w:gridCol w:w="90"/>
        <w:gridCol w:w="170"/>
        <w:gridCol w:w="830"/>
        <w:gridCol w:w="90"/>
        <w:gridCol w:w="90"/>
        <w:gridCol w:w="236"/>
        <w:gridCol w:w="924"/>
        <w:gridCol w:w="185"/>
        <w:gridCol w:w="90"/>
        <w:gridCol w:w="228"/>
        <w:gridCol w:w="722"/>
        <w:gridCol w:w="90"/>
        <w:gridCol w:w="90"/>
        <w:gridCol w:w="170"/>
        <w:gridCol w:w="1010"/>
        <w:gridCol w:w="90"/>
        <w:gridCol w:w="90"/>
        <w:gridCol w:w="183"/>
        <w:gridCol w:w="977"/>
        <w:gridCol w:w="185"/>
        <w:gridCol w:w="90"/>
        <w:gridCol w:w="173"/>
        <w:gridCol w:w="792"/>
        <w:gridCol w:w="90"/>
        <w:gridCol w:w="90"/>
        <w:gridCol w:w="170"/>
        <w:gridCol w:w="1010"/>
        <w:gridCol w:w="90"/>
        <w:gridCol w:w="90"/>
        <w:gridCol w:w="183"/>
        <w:gridCol w:w="977"/>
        <w:gridCol w:w="185"/>
        <w:gridCol w:w="90"/>
        <w:gridCol w:w="170"/>
        <w:gridCol w:w="780"/>
        <w:gridCol w:w="135"/>
      </w:tblGrid>
      <w:tr>
        <w:trPr/>
        <w:tc>
          <w:tcPr>
            <w:tcW w:w="158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58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3565" w:type="dxa"/>
            <w:gridSpan w:val="10"/>
            <w:tcBorders>
              <w:bottom w:val="single" w:sz="12" w:space="0" w:color="000000"/>
            </w:tcBorders>
            <w:tcMar>
              <w:bottom w:w="28" w:type="dxa"/>
            </w:tcMar>
            <w:vAlign w:val="center"/>
          </w:tcPr>
          <w:p>
            <w:pPr>
              <w:pStyle w:val="TableContents"/>
              <w:bidi w:val="0"/>
              <w:spacing w:before="0" w:after="283"/>
              <w:jc w:val="center"/>
              <w:rPr/>
            </w:pPr>
            <w:r>
              <w:rPr>
                <w:b/>
              </w:rPr>
              <w:t>Less Than 12 Months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760" w:type="dxa"/>
            <w:gridSpan w:val="10"/>
            <w:tcBorders>
              <w:bottom w:val="single" w:sz="12" w:space="0" w:color="000000"/>
            </w:tcBorders>
            <w:tcMar>
              <w:bottom w:w="28" w:type="dxa"/>
            </w:tcMar>
            <w:vAlign w:val="center"/>
          </w:tcPr>
          <w:p>
            <w:pPr>
              <w:pStyle w:val="TableContents"/>
              <w:bidi w:val="0"/>
              <w:spacing w:before="0" w:after="283"/>
              <w:jc w:val="center"/>
              <w:rPr/>
            </w:pPr>
            <w:r>
              <w:rPr/>
              <w:t xml:space="preserve">  </w:t>
            </w:r>
            <w:r>
              <w:rPr>
                <w:b/>
                <w:spacing w:val="0"/>
              </w:rPr>
              <w:t>12 Months or Longer</w:t>
            </w: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74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Total</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b/>
              </w:rPr>
              <w:t>Number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pPr>
            <w:r>
              <w:rPr>
                <w:b/>
                <w:spacing w:val="0"/>
              </w:rPr>
              <w:t>Number</w:t>
            </w: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spacing w:val="0"/>
              </w:rPr>
            </w:pPr>
            <w:r>
              <w:rPr>
                <w:b/>
                <w:spacing w:val="0"/>
              </w:rPr>
              <w:t>Number</w:t>
            </w:r>
          </w:p>
        </w:tc>
        <w:tc>
          <w:tcPr>
            <w:tcW w:w="135" w:type="dxa"/>
            <w:tcBorders/>
            <w:vAlign w:val="center"/>
          </w:tcPr>
          <w:p>
            <w:pPr>
              <w:pStyle w:val="TableContents"/>
              <w:bidi w:val="0"/>
              <w:spacing w:before="0" w:after="283"/>
              <w:jc w:val="center"/>
              <w:rPr/>
            </w:pPr>
            <w:r>
              <w:rPr/>
              <w:t> </w:t>
            </w:r>
          </w:p>
        </w:tc>
      </w:tr>
      <w:tr>
        <w:trPr/>
        <w:tc>
          <w:tcPr>
            <w:tcW w:w="15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b/>
              </w:rPr>
              <w:t>Fair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b/>
              </w:rPr>
              <w:t>Unrealized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b/>
              </w:rPr>
              <w:t>of</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b/>
              </w:rPr>
              <w:t>Fair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b/>
              </w:rPr>
              <w:t>Unrealized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pPr>
            <w:r>
              <w:rPr>
                <w:b/>
              </w:rPr>
              <w:t>of</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vAlign w:val="center"/>
          </w:tcPr>
          <w:p>
            <w:pPr>
              <w:pStyle w:val="TableContents"/>
              <w:bidi w:val="0"/>
              <w:spacing w:before="0" w:after="283"/>
              <w:jc w:val="center"/>
              <w:rPr/>
            </w:pPr>
            <w:r>
              <w:rPr>
                <w:b/>
              </w:rPr>
              <w:t>Fair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b/>
              </w:rPr>
              <w:t>Unrealized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b/>
              </w:rPr>
              <w:t>of</w:t>
            </w:r>
            <w:r>
              <w:rPr/>
              <w:t xml:space="preserve"> </w:t>
            </w:r>
          </w:p>
        </w:tc>
        <w:tc>
          <w:tcPr>
            <w:tcW w:w="135" w:type="dxa"/>
            <w:tcBorders/>
            <w:vAlign w:val="center"/>
          </w:tcPr>
          <w:p>
            <w:pPr>
              <w:pStyle w:val="TableContents"/>
              <w:bidi w:val="0"/>
              <w:spacing w:before="0" w:after="283"/>
              <w:jc w:val="center"/>
              <w:rPr/>
            </w:pPr>
            <w:r>
              <w:rPr/>
              <w:t> </w:t>
            </w:r>
          </w:p>
        </w:tc>
      </w:tr>
      <w:tr>
        <w:trPr/>
        <w:tc>
          <w:tcPr>
            <w:tcW w:w="1586"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Value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b/>
              </w:rPr>
              <w:t>Losses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pPr>
            <w:r>
              <w:rPr>
                <w:b/>
              </w:rPr>
              <w:t>Positions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Value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b/>
              </w:rPr>
              <w:t>Losses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pPr>
            <w:r>
              <w:rPr>
                <w:b/>
              </w:rPr>
              <w:t>Positions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Value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b/>
              </w:rPr>
              <w:t>Losses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pPr>
            <w:r>
              <w:rPr>
                <w:b/>
              </w:rPr>
              <w:t>Positions</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586" w:type="dxa"/>
            <w:tcBorders/>
            <w:vAlign w:val="center"/>
          </w:tcPr>
          <w:p>
            <w:pPr>
              <w:pStyle w:val="TableContents"/>
              <w:bidi w:val="0"/>
              <w:spacing w:before="0" w:after="0"/>
              <w:ind w:left="0" w:right="0" w:hanging="144"/>
              <w:jc w:val="left"/>
              <w:rPr/>
            </w:pPr>
            <w:r>
              <w:rPr>
                <w:b/>
              </w:rPr>
              <w:t>As of June 30, 2026</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AFS securities: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U.S. treasury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29,700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b/>
              </w:rPr>
            </w:pPr>
            <w:r>
              <w:rPr>
                <w:b/>
              </w:rPr>
              <w:t>$</w:t>
            </w:r>
          </w:p>
        </w:tc>
        <w:tc>
          <w:tcPr>
            <w:tcW w:w="924" w:type="dxa"/>
            <w:tcBorders/>
            <w:shd w:fill="CCEEFF" w:val="clear"/>
            <w:vAlign w:val="center"/>
          </w:tcPr>
          <w:p>
            <w:pPr>
              <w:pStyle w:val="TableContents"/>
              <w:bidi w:val="0"/>
              <w:spacing w:before="0" w:after="283"/>
              <w:jc w:val="right"/>
              <w:rPr>
                <w:b/>
              </w:rPr>
            </w:pPr>
            <w:r>
              <w:rPr>
                <w:b/>
              </w:rPr>
              <w:t>(237</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b/>
              </w:rPr>
            </w:pPr>
            <w:r>
              <w:rPr>
                <w:b/>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72,058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b/>
              </w:rPr>
            </w:pPr>
            <w:r>
              <w:rPr>
                <w:b/>
              </w:rPr>
              <w:t>$</w:t>
            </w:r>
          </w:p>
        </w:tc>
        <w:tc>
          <w:tcPr>
            <w:tcW w:w="977" w:type="dxa"/>
            <w:tcBorders/>
            <w:shd w:fill="CCEEFF" w:val="clear"/>
            <w:vAlign w:val="center"/>
          </w:tcPr>
          <w:p>
            <w:pPr>
              <w:pStyle w:val="TableContents"/>
              <w:bidi w:val="0"/>
              <w:spacing w:before="0" w:after="283"/>
              <w:jc w:val="right"/>
              <w:rPr>
                <w:b/>
              </w:rPr>
            </w:pPr>
            <w:r>
              <w:rPr>
                <w:b/>
              </w:rPr>
              <w:t>(2,427</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b/>
              </w:rPr>
            </w:pPr>
            <w:r>
              <w:rPr>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101,758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b/>
              </w:rPr>
            </w:pPr>
            <w:r>
              <w:rPr>
                <w:b/>
              </w:rPr>
              <w:t>$</w:t>
            </w:r>
          </w:p>
        </w:tc>
        <w:tc>
          <w:tcPr>
            <w:tcW w:w="977" w:type="dxa"/>
            <w:tcBorders/>
            <w:shd w:fill="CCEEFF" w:val="clear"/>
            <w:vAlign w:val="center"/>
          </w:tcPr>
          <w:p>
            <w:pPr>
              <w:pStyle w:val="TableContents"/>
              <w:bidi w:val="0"/>
              <w:spacing w:before="0" w:after="283"/>
              <w:jc w:val="right"/>
              <w:rPr>
                <w:b/>
              </w:rPr>
            </w:pPr>
            <w:r>
              <w:rPr>
                <w:b/>
              </w:rPr>
              <w:t>(2,664</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b/>
              </w:rPr>
            </w:pPr>
            <w:r>
              <w:rPr>
                <w:b/>
              </w:rPr>
              <w:t>7</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Federal agency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b/>
              </w:rPr>
            </w:pPr>
            <w:r>
              <w:rPr>
                <w:b/>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231,129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b/>
              </w:rPr>
            </w:pPr>
            <w:r>
              <w:rPr>
                <w:b/>
              </w:rPr>
              <w:t>(17,164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b/>
              </w:rPr>
            </w:pPr>
            <w:r>
              <w:rPr>
                <w:b/>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231,129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b/>
              </w:rPr>
            </w:pPr>
            <w:r>
              <w:rPr>
                <w:b/>
              </w:rPr>
              <w:t>(17,164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b/>
              </w:rPr>
            </w:pPr>
            <w:r>
              <w:rPr>
                <w:b/>
              </w:rPr>
              <w:t>16</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State &amp; municipal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80,364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b/>
              </w:rPr>
            </w:pPr>
            <w:r>
              <w:rPr>
                <w:b/>
              </w:rPr>
              <w:t>(3,676</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b/>
              </w:rPr>
            </w:pPr>
            <w:r>
              <w:rPr>
                <w:b/>
              </w:rPr>
              <w:t>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80,364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b/>
              </w:rPr>
            </w:pPr>
            <w:r>
              <w:rPr>
                <w:b/>
              </w:rPr>
              <w:t>(3,676</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b/>
              </w:rPr>
            </w:pPr>
            <w:r>
              <w:rPr>
                <w:b/>
              </w:rPr>
              <w:t>59</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Mortgage-backed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317,746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b/>
              </w:rPr>
            </w:pPr>
            <w:r>
              <w:rPr>
                <w:b/>
              </w:rPr>
              <w:t>(3,411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b/>
              </w:rPr>
            </w:pPr>
            <w:r>
              <w:rPr>
                <w:b/>
              </w:rPr>
              <w:t>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311,311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b/>
              </w:rPr>
            </w:pPr>
            <w:r>
              <w:rPr>
                <w:b/>
              </w:rPr>
              <w:t>(27,735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b/>
              </w:rPr>
            </w:pPr>
            <w:r>
              <w:rPr>
                <w:b/>
              </w:rPr>
              <w:t>126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629,057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b/>
              </w:rPr>
            </w:pPr>
            <w:r>
              <w:rPr>
                <w:b/>
              </w:rPr>
              <w:t>(31,146</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b/>
              </w:rPr>
            </w:pPr>
            <w:r>
              <w:rPr>
                <w:b/>
              </w:rPr>
              <w:t>167</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Collateralized mortgage obligations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197,645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b/>
              </w:rPr>
            </w:pPr>
            <w:r>
              <w:rPr>
                <w:b/>
              </w:rPr>
              <w:t>(2,683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b/>
              </w:rPr>
            </w:pPr>
            <w:r>
              <w:rPr>
                <w:b/>
              </w:rPr>
              <w:t>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376,126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b/>
              </w:rPr>
            </w:pPr>
            <w:r>
              <w:rPr>
                <w:b/>
              </w:rPr>
              <w:t>(49,333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b/>
              </w:rPr>
            </w:pPr>
            <w:r>
              <w:rPr>
                <w:b/>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573,771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b/>
              </w:rPr>
            </w:pPr>
            <w:r>
              <w:rPr>
                <w:b/>
              </w:rPr>
              <w:t>(52,016</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b/>
              </w:rPr>
            </w:pPr>
            <w:r>
              <w:rPr>
                <w:b/>
              </w:rPr>
              <w:t>128</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Corporate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722"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21,714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tcMar>
              <w:bottom w:w="28" w:type="dxa"/>
            </w:tcMar>
            <w:vAlign w:val="center"/>
          </w:tcPr>
          <w:p>
            <w:pPr>
              <w:pStyle w:val="TableContents"/>
              <w:bidi w:val="0"/>
              <w:spacing w:before="0" w:after="283"/>
              <w:jc w:val="right"/>
              <w:rPr>
                <w:b/>
              </w:rPr>
            </w:pPr>
            <w:r>
              <w:rPr>
                <w:b/>
              </w:rPr>
              <w:t>(786</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before="0" w:after="283"/>
              <w:jc w:val="right"/>
              <w:rPr>
                <w:b/>
              </w:rPr>
            </w:pPr>
            <w:r>
              <w:rPr>
                <w:b/>
              </w:rPr>
              <w:t>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21,714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tcMar>
              <w:bottom w:w="28" w:type="dxa"/>
            </w:tcMar>
            <w:vAlign w:val="center"/>
          </w:tcPr>
          <w:p>
            <w:pPr>
              <w:pStyle w:val="TableContents"/>
              <w:bidi w:val="0"/>
              <w:spacing w:before="0" w:after="283"/>
              <w:jc w:val="right"/>
              <w:rPr>
                <w:b/>
              </w:rPr>
            </w:pPr>
            <w:r>
              <w:rPr>
                <w:b/>
              </w:rPr>
              <w:t>(786</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b/>
              </w:rPr>
            </w:pPr>
            <w:r>
              <w:rPr>
                <w:b/>
              </w:rPr>
              <w:t>7</w:t>
            </w:r>
          </w:p>
        </w:tc>
        <w:tc>
          <w:tcPr>
            <w:tcW w:w="135"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1586"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securities with unrealized losses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545,091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24"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(6,331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72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1,092,702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(101,121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312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1,637,793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(107,452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384</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HTM securities: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Federal agency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b/>
              </w:rPr>
            </w:pPr>
            <w:r>
              <w:rPr>
                <w:b/>
              </w:rPr>
              <w:t>$</w:t>
            </w:r>
          </w:p>
        </w:tc>
        <w:tc>
          <w:tcPr>
            <w:tcW w:w="924" w:type="dxa"/>
            <w:tcBorders/>
            <w:shd w:fill="CCEEFF" w:val="clear"/>
            <w:vAlign w:val="center"/>
          </w:tcPr>
          <w:p>
            <w:pPr>
              <w:pStyle w:val="TableContents"/>
              <w:bidi w:val="0"/>
              <w:spacing w:before="0" w:after="283"/>
              <w:jc w:val="right"/>
              <w:rPr>
                <w:b/>
              </w:rPr>
            </w:pPr>
            <w:r>
              <w:rPr>
                <w:b/>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88,732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b/>
              </w:rPr>
            </w:pPr>
            <w:r>
              <w:rPr>
                <w:b/>
              </w:rPr>
              <w:t>$</w:t>
            </w:r>
          </w:p>
        </w:tc>
        <w:tc>
          <w:tcPr>
            <w:tcW w:w="977" w:type="dxa"/>
            <w:tcBorders/>
            <w:shd w:fill="CCEEFF" w:val="clear"/>
            <w:vAlign w:val="center"/>
          </w:tcPr>
          <w:p>
            <w:pPr>
              <w:pStyle w:val="TableContents"/>
              <w:bidi w:val="0"/>
              <w:spacing w:before="0" w:after="283"/>
              <w:jc w:val="right"/>
              <w:rPr>
                <w:b/>
              </w:rPr>
            </w:pPr>
            <w:r>
              <w:rPr>
                <w:b/>
              </w:rPr>
              <w:t>(11,268</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b/>
              </w:rPr>
            </w:pPr>
            <w:r>
              <w:rPr>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88,732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b/>
              </w:rPr>
            </w:pPr>
            <w:r>
              <w:rPr>
                <w:b/>
              </w:rPr>
              <w:t>$</w:t>
            </w:r>
          </w:p>
        </w:tc>
        <w:tc>
          <w:tcPr>
            <w:tcW w:w="977" w:type="dxa"/>
            <w:tcBorders/>
            <w:shd w:fill="CCEEFF" w:val="clear"/>
            <w:vAlign w:val="center"/>
          </w:tcPr>
          <w:p>
            <w:pPr>
              <w:pStyle w:val="TableContents"/>
              <w:bidi w:val="0"/>
              <w:spacing w:before="0" w:after="283"/>
              <w:jc w:val="right"/>
              <w:rPr>
                <w:b/>
              </w:rPr>
            </w:pPr>
            <w:r>
              <w:rPr>
                <w:b/>
              </w:rPr>
              <w:t>(11,268</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b/>
              </w:rPr>
            </w:pPr>
            <w:r>
              <w:rPr>
                <w:b/>
              </w:rPr>
              <w:t>4</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Mortgage-backed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9,878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b/>
              </w:rPr>
            </w:pPr>
            <w:r>
              <w:rPr>
                <w:b/>
              </w:rPr>
              <w:t>(143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b/>
              </w:rPr>
            </w:pPr>
            <w:r>
              <w:rPr>
                <w:b/>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157,509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b/>
              </w:rPr>
            </w:pPr>
            <w:r>
              <w:rPr>
                <w:b/>
              </w:rPr>
              <w:t>(23,925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b/>
              </w:rPr>
            </w:pPr>
            <w:r>
              <w:rPr>
                <w:b/>
              </w:rPr>
              <w:t>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167,387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b/>
              </w:rPr>
            </w:pPr>
            <w:r>
              <w:rPr>
                <w:b/>
              </w:rPr>
              <w:t>(24,068</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b/>
              </w:rPr>
            </w:pPr>
            <w:r>
              <w:rPr>
                <w:b/>
              </w:rPr>
              <w:t>36</w:t>
            </w:r>
          </w:p>
        </w:tc>
        <w:tc>
          <w:tcPr>
            <w:tcW w:w="135" w:type="dxa"/>
            <w:tcBorders/>
            <w:vAlign w:val="center"/>
          </w:tcPr>
          <w:p>
            <w:pPr>
              <w:pStyle w:val="TableContents"/>
              <w:bidi w:val="0"/>
              <w:spacing w:before="0" w:after="283"/>
              <w:ind w:left="0" w:right="0" w:hanging="150"/>
              <w:jc w:val="left"/>
              <w:rPr/>
            </w:pPr>
            <w:r>
              <w:rPr/>
              <w:t> </w:t>
            </w:r>
          </w:p>
        </w:tc>
      </w:tr>
      <w:tr>
        <w:trPr/>
        <w:tc>
          <w:tcPr>
            <w:tcW w:w="1586" w:type="dxa"/>
            <w:tcBorders/>
            <w:shd w:fill="CCEEFF" w:val="clear"/>
            <w:vAlign w:val="center"/>
          </w:tcPr>
          <w:p>
            <w:pPr>
              <w:pStyle w:val="TableContents"/>
              <w:bidi w:val="0"/>
              <w:spacing w:before="0" w:after="0"/>
              <w:jc w:val="left"/>
              <w:rPr/>
            </w:pPr>
            <w:r>
              <w:rPr/>
              <w:t xml:space="preserve">Collateralized mortgage obligation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5,576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b/>
              </w:rPr>
            </w:pPr>
            <w:r>
              <w:rPr>
                <w:b/>
              </w:rPr>
              <w:t>(72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b/>
              </w:rPr>
            </w:pPr>
            <w:r>
              <w:rPr>
                <w:b/>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156,717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b/>
              </w:rPr>
            </w:pPr>
            <w:r>
              <w:rPr>
                <w:b/>
              </w:rPr>
              <w:t>(15,395</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b/>
              </w:rPr>
            </w:pPr>
            <w:r>
              <w:rPr>
                <w:b/>
              </w:rPr>
              <w:t>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162,293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b/>
              </w:rPr>
            </w:pPr>
            <w:r>
              <w:rPr>
                <w:b/>
              </w:rPr>
              <w:t>(15,467</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b/>
              </w:rPr>
            </w:pPr>
            <w:r>
              <w:rPr>
                <w:b/>
              </w:rPr>
              <w:t>47</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State &amp; municipal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16,562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283"/>
              <w:jc w:val="right"/>
              <w:rPr>
                <w:b/>
              </w:rPr>
            </w:pPr>
            <w:r>
              <w:rPr>
                <w:b/>
              </w:rPr>
              <w:t>(514</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722" w:type="dxa"/>
            <w:tcBorders>
              <w:bottom w:val="single" w:sz="12" w:space="0" w:color="000000"/>
            </w:tcBorders>
            <w:tcMar>
              <w:bottom w:w="28" w:type="dxa"/>
            </w:tcMar>
            <w:vAlign w:val="center"/>
          </w:tcPr>
          <w:p>
            <w:pPr>
              <w:pStyle w:val="TableContents"/>
              <w:bidi w:val="0"/>
              <w:spacing w:before="0" w:after="283"/>
              <w:jc w:val="right"/>
              <w:rPr>
                <w:b/>
              </w:rPr>
            </w:pPr>
            <w:r>
              <w:rPr>
                <w:b/>
              </w:rPr>
              <w:t>19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120,834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tcMar>
              <w:bottom w:w="28" w:type="dxa"/>
            </w:tcMar>
            <w:vAlign w:val="center"/>
          </w:tcPr>
          <w:p>
            <w:pPr>
              <w:pStyle w:val="TableContents"/>
              <w:bidi w:val="0"/>
              <w:spacing w:before="0" w:after="283"/>
              <w:jc w:val="right"/>
              <w:rPr>
                <w:b/>
              </w:rPr>
            </w:pPr>
            <w:r>
              <w:rPr>
                <w:b/>
              </w:rPr>
              <w:t>(11,208</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before="0" w:after="283"/>
              <w:jc w:val="right"/>
              <w:rPr>
                <w:b/>
              </w:rPr>
            </w:pPr>
            <w:r>
              <w:rPr>
                <w:b/>
              </w:rPr>
              <w:t>121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137,396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tcMar>
              <w:bottom w:w="28" w:type="dxa"/>
            </w:tcMar>
            <w:vAlign w:val="center"/>
          </w:tcPr>
          <w:p>
            <w:pPr>
              <w:pStyle w:val="TableContents"/>
              <w:bidi w:val="0"/>
              <w:spacing w:before="0" w:after="283"/>
              <w:jc w:val="right"/>
              <w:rPr>
                <w:b/>
              </w:rPr>
            </w:pPr>
            <w:r>
              <w:rPr>
                <w:b/>
              </w:rPr>
              <w:t>(11,722</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b/>
              </w:rPr>
            </w:pPr>
            <w:r>
              <w:rPr>
                <w:b/>
              </w:rPr>
              <w:t>140</w:t>
            </w:r>
          </w:p>
        </w:tc>
        <w:tc>
          <w:tcPr>
            <w:tcW w:w="135"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1586"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securities with unrealized losses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32,016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24"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(729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523,792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(61,796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204</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555,808</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7"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(62,525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227</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b/>
              </w:rPr>
              <w:t>As of December 31, 2025</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AFS securities: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U.S. treasury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71,796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(2,533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71,796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(2,533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4</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Federal agency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231,276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(17,036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231,276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(17,036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16</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State &amp; municipal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85,965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(3,931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85,965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(3,931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64</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Mortgage-backed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49,453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338,370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(27,030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387,913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(27,191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142</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86" w:type="dxa"/>
            <w:tcBorders/>
            <w:vAlign w:val="center"/>
          </w:tcPr>
          <w:p>
            <w:pPr>
              <w:pStyle w:val="TableContents"/>
              <w:bidi w:val="0"/>
              <w:spacing w:before="0" w:after="0"/>
              <w:jc w:val="left"/>
              <w:rPr/>
            </w:pPr>
            <w:r>
              <w:rPr/>
              <w:t xml:space="preserve">Collateralized mortgage obligations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80,781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418,983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(48,275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105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499,764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(48,406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117</w:t>
            </w:r>
          </w:p>
        </w:tc>
        <w:tc>
          <w:tcPr>
            <w:tcW w:w="135" w:type="dxa"/>
            <w:tcBorders/>
            <w:vAlign w:val="center"/>
          </w:tcPr>
          <w:p>
            <w:pPr>
              <w:pStyle w:val="TableContents"/>
              <w:bidi w:val="0"/>
              <w:spacing w:before="0" w:after="283"/>
              <w:jc w:val="left"/>
              <w:rPr/>
            </w:pPr>
            <w:r>
              <w:rPr/>
              <w:t> </w:t>
            </w:r>
          </w:p>
        </w:tc>
      </w:tr>
      <w:tr>
        <w:trPr/>
        <w:tc>
          <w:tcPr>
            <w:tcW w:w="1586"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Corporate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20,965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20,965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35"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86" w:type="dxa"/>
            <w:tcBorders>
              <w:bottom w:val="double" w:sz="8" w:space="0" w:color="000000"/>
            </w:tcBorders>
            <w:tcMar>
              <w:bottom w:w="28" w:type="dxa"/>
            </w:tcMar>
            <w:vAlign w:val="center"/>
          </w:tcPr>
          <w:p>
            <w:pPr>
              <w:pStyle w:val="TableContents"/>
              <w:bidi w:val="0"/>
              <w:spacing w:before="0" w:after="0"/>
              <w:jc w:val="left"/>
              <w:rPr/>
            </w:pPr>
            <w:r>
              <w:rPr/>
              <w:t xml:space="preserve">Total securities with unrealized losses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130,234</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36" w:type="dxa"/>
            <w:tcBorders>
              <w:bottom w:val="double" w:sz="8" w:space="0" w:color="000000"/>
            </w:tcBorders>
            <w:tcMar>
              <w:bottom w:w="28" w:type="dxa"/>
            </w:tcMar>
            <w:vAlign w:val="center"/>
          </w:tcPr>
          <w:p>
            <w:pPr>
              <w:pStyle w:val="TableContents"/>
              <w:bidi w:val="0"/>
              <w:spacing w:before="0" w:after="283"/>
              <w:jc w:val="left"/>
              <w:rPr/>
            </w:pPr>
            <w:r>
              <w:rPr/>
              <w:t>$</w:t>
            </w:r>
          </w:p>
        </w:tc>
        <w:tc>
          <w:tcPr>
            <w:tcW w:w="924" w:type="dxa"/>
            <w:tcBorders>
              <w:bottom w:val="double" w:sz="8" w:space="0" w:color="000000"/>
            </w:tcBorders>
            <w:tcMar>
              <w:bottom w:w="28" w:type="dxa"/>
            </w:tcMar>
            <w:vAlign w:val="center"/>
          </w:tcPr>
          <w:p>
            <w:pPr>
              <w:pStyle w:val="TableContents"/>
              <w:bidi w:val="0"/>
              <w:spacing w:before="0" w:after="283"/>
              <w:jc w:val="right"/>
              <w:rPr/>
            </w:pPr>
            <w:r>
              <w:rPr/>
              <w:t>(292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28" w:type="dxa"/>
            <w:tcBorders>
              <w:bottom w:val="double" w:sz="8" w:space="0" w:color="000000"/>
            </w:tcBorders>
            <w:tcMar>
              <w:bottom w:w="28" w:type="dxa"/>
            </w:tcMar>
            <w:vAlign w:val="center"/>
          </w:tcPr>
          <w:p>
            <w:pPr>
              <w:pStyle w:val="TableContents"/>
              <w:bidi w:val="0"/>
              <w:spacing w:before="0" w:after="283"/>
              <w:jc w:val="left"/>
              <w:rPr/>
            </w:pPr>
            <w:r>
              <w:rPr/>
              <w:t> </w:t>
            </w:r>
          </w:p>
        </w:tc>
        <w:tc>
          <w:tcPr>
            <w:tcW w:w="722" w:type="dxa"/>
            <w:tcBorders>
              <w:bottom w:val="double" w:sz="8" w:space="0" w:color="000000"/>
            </w:tcBorders>
            <w:tcMar>
              <w:bottom w:w="28" w:type="dxa"/>
            </w:tcMar>
            <w:vAlign w:val="center"/>
          </w:tcPr>
          <w:p>
            <w:pPr>
              <w:pStyle w:val="TableContents"/>
              <w:bidi w:val="0"/>
              <w:spacing w:before="0" w:after="283"/>
              <w:jc w:val="right"/>
              <w:rPr/>
            </w:pPr>
            <w:r>
              <w:rPr/>
              <w:t>19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1,167,355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tcMar>
              <w:bottom w:w="28" w:type="dxa"/>
            </w:tcMar>
            <w:vAlign w:val="center"/>
          </w:tcPr>
          <w:p>
            <w:pPr>
              <w:pStyle w:val="TableContents"/>
              <w:bidi w:val="0"/>
              <w:spacing w:before="0" w:after="283"/>
              <w:jc w:val="left"/>
              <w:rPr/>
            </w:pPr>
            <w:r>
              <w:rPr/>
              <w:t>$</w:t>
            </w:r>
          </w:p>
        </w:tc>
        <w:tc>
          <w:tcPr>
            <w:tcW w:w="977" w:type="dxa"/>
            <w:tcBorders>
              <w:bottom w:val="double" w:sz="8" w:space="0" w:color="000000"/>
            </w:tcBorders>
            <w:tcMar>
              <w:bottom w:w="28" w:type="dxa"/>
            </w:tcMar>
            <w:vAlign w:val="center"/>
          </w:tcPr>
          <w:p>
            <w:pPr>
              <w:pStyle w:val="TableContents"/>
              <w:bidi w:val="0"/>
              <w:spacing w:before="0" w:after="283"/>
              <w:jc w:val="right"/>
              <w:rPr/>
            </w:pPr>
            <w:r>
              <w:rPr/>
              <w:t>(100,340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 </w:t>
            </w:r>
          </w:p>
        </w:tc>
        <w:tc>
          <w:tcPr>
            <w:tcW w:w="792" w:type="dxa"/>
            <w:tcBorders>
              <w:bottom w:val="double" w:sz="8" w:space="0" w:color="000000"/>
            </w:tcBorders>
            <w:tcMar>
              <w:bottom w:w="28" w:type="dxa"/>
            </w:tcMar>
            <w:vAlign w:val="center"/>
          </w:tcPr>
          <w:p>
            <w:pPr>
              <w:pStyle w:val="TableContents"/>
              <w:bidi w:val="0"/>
              <w:spacing w:before="0" w:after="283"/>
              <w:jc w:val="right"/>
              <w:rPr/>
            </w:pPr>
            <w:r>
              <w:rPr/>
              <w:t>331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1,297,679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tcMar>
              <w:bottom w:w="28" w:type="dxa"/>
            </w:tcMar>
            <w:vAlign w:val="center"/>
          </w:tcPr>
          <w:p>
            <w:pPr>
              <w:pStyle w:val="TableContents"/>
              <w:bidi w:val="0"/>
              <w:spacing w:before="0" w:after="283"/>
              <w:jc w:val="left"/>
              <w:rPr/>
            </w:pPr>
            <w:r>
              <w:rPr/>
              <w:t>$</w:t>
            </w:r>
          </w:p>
        </w:tc>
        <w:tc>
          <w:tcPr>
            <w:tcW w:w="977" w:type="dxa"/>
            <w:tcBorders>
              <w:bottom w:val="double" w:sz="8" w:space="0" w:color="000000"/>
            </w:tcBorders>
            <w:tcMar>
              <w:bottom w:w="28" w:type="dxa"/>
            </w:tcMar>
            <w:vAlign w:val="center"/>
          </w:tcPr>
          <w:p>
            <w:pPr>
              <w:pStyle w:val="TableContents"/>
              <w:bidi w:val="0"/>
              <w:spacing w:before="0" w:after="283"/>
              <w:jc w:val="right"/>
              <w:rPr/>
            </w:pPr>
            <w:r>
              <w:rPr/>
              <w:t>(100,632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 </w:t>
            </w:r>
          </w:p>
        </w:tc>
        <w:tc>
          <w:tcPr>
            <w:tcW w:w="780" w:type="dxa"/>
            <w:tcBorders>
              <w:bottom w:val="double" w:sz="8" w:space="0" w:color="000000"/>
            </w:tcBorders>
            <w:tcMar>
              <w:bottom w:w="28" w:type="dxa"/>
            </w:tcMar>
            <w:vAlign w:val="center"/>
          </w:tcPr>
          <w:p>
            <w:pPr>
              <w:pStyle w:val="TableContents"/>
              <w:bidi w:val="0"/>
              <w:spacing w:before="0" w:after="283"/>
              <w:jc w:val="right"/>
              <w:rPr/>
            </w:pPr>
            <w:r>
              <w:rPr/>
              <w:t>350</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HTM securities: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86" w:type="dxa"/>
            <w:tcBorders/>
            <w:vAlign w:val="center"/>
          </w:tcPr>
          <w:p>
            <w:pPr>
              <w:pStyle w:val="TableContents"/>
              <w:bidi w:val="0"/>
              <w:spacing w:before="0" w:after="0"/>
              <w:ind w:left="0" w:right="0" w:hanging="144"/>
              <w:jc w:val="left"/>
              <w:rPr/>
            </w:pPr>
            <w:r>
              <w:rPr/>
              <w:t xml:space="preserve">Federal agency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89,295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(10,705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89,295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(10,705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4</w:t>
            </w:r>
          </w:p>
        </w:tc>
        <w:tc>
          <w:tcPr>
            <w:tcW w:w="135" w:type="dxa"/>
            <w:tcBorders/>
            <w:vAlign w:val="center"/>
          </w:tcPr>
          <w:p>
            <w:pPr>
              <w:pStyle w:val="TableContents"/>
              <w:bidi w:val="0"/>
              <w:spacing w:before="0" w:after="283"/>
              <w:jc w:val="left"/>
              <w:rPr/>
            </w:pPr>
            <w:r>
              <w:rPr/>
              <w:t> </w:t>
            </w:r>
          </w:p>
        </w:tc>
      </w:tr>
      <w:tr>
        <w:trPr/>
        <w:tc>
          <w:tcPr>
            <w:tcW w:w="1586" w:type="dxa"/>
            <w:tcBorders/>
            <w:shd w:fill="CCEEFF" w:val="clear"/>
            <w:vAlign w:val="center"/>
          </w:tcPr>
          <w:p>
            <w:pPr>
              <w:pStyle w:val="TableContents"/>
              <w:bidi w:val="0"/>
              <w:spacing w:before="0" w:after="0"/>
              <w:ind w:left="0" w:right="0" w:hanging="144"/>
              <w:jc w:val="left"/>
              <w:rPr/>
            </w:pPr>
            <w:r>
              <w:rPr/>
              <w:t xml:space="preserve">Mortgage-backed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10,771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168,422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(23,308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179,193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(23,379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34</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1586" w:type="dxa"/>
            <w:tcBorders/>
            <w:vAlign w:val="center"/>
          </w:tcPr>
          <w:p>
            <w:pPr>
              <w:pStyle w:val="TableContents"/>
              <w:bidi w:val="0"/>
              <w:spacing w:before="0" w:after="0"/>
              <w:jc w:val="left"/>
              <w:rPr/>
            </w:pPr>
            <w:r>
              <w:rPr/>
              <w:t xml:space="preserve">Collateralized mortgage obligations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173,333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(14,689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173,333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(14,689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47</w:t>
            </w:r>
          </w:p>
        </w:tc>
        <w:tc>
          <w:tcPr>
            <w:tcW w:w="135" w:type="dxa"/>
            <w:tcBorders/>
            <w:vAlign w:val="center"/>
          </w:tcPr>
          <w:p>
            <w:pPr>
              <w:pStyle w:val="TableContents"/>
              <w:bidi w:val="0"/>
              <w:spacing w:before="0" w:after="283"/>
              <w:jc w:val="left"/>
              <w:rPr/>
            </w:pPr>
            <w:r>
              <w:rPr/>
              <w:t> </w:t>
            </w:r>
          </w:p>
        </w:tc>
      </w:tr>
      <w:tr>
        <w:trPr/>
        <w:tc>
          <w:tcPr>
            <w:tcW w:w="1586"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State &amp; municipal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4,381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142,139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(11,353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146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146,520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(11,598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153</w:t>
            </w:r>
          </w:p>
        </w:tc>
        <w:tc>
          <w:tcPr>
            <w:tcW w:w="135"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1586" w:type="dxa"/>
            <w:tcBorders>
              <w:bottom w:val="double" w:sz="8" w:space="0" w:color="000000"/>
            </w:tcBorders>
            <w:tcMar>
              <w:bottom w:w="28" w:type="dxa"/>
            </w:tcMar>
            <w:vAlign w:val="center"/>
          </w:tcPr>
          <w:p>
            <w:pPr>
              <w:pStyle w:val="TableContents"/>
              <w:bidi w:val="0"/>
              <w:spacing w:before="0" w:after="0"/>
              <w:jc w:val="left"/>
              <w:rPr/>
            </w:pPr>
            <w:r>
              <w:rPr/>
              <w:t xml:space="preserve">Total securities with unrealized losses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15,152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36" w:type="dxa"/>
            <w:tcBorders>
              <w:bottom w:val="double" w:sz="8" w:space="0" w:color="000000"/>
            </w:tcBorders>
            <w:tcMar>
              <w:bottom w:w="28" w:type="dxa"/>
            </w:tcMar>
            <w:vAlign w:val="center"/>
          </w:tcPr>
          <w:p>
            <w:pPr>
              <w:pStyle w:val="TableContents"/>
              <w:bidi w:val="0"/>
              <w:spacing w:before="0" w:after="283"/>
              <w:jc w:val="left"/>
              <w:rPr/>
            </w:pPr>
            <w:r>
              <w:rPr/>
              <w:t>$</w:t>
            </w:r>
          </w:p>
        </w:tc>
        <w:tc>
          <w:tcPr>
            <w:tcW w:w="924" w:type="dxa"/>
            <w:tcBorders>
              <w:bottom w:val="double" w:sz="8" w:space="0" w:color="000000"/>
            </w:tcBorders>
            <w:tcMar>
              <w:bottom w:w="28" w:type="dxa"/>
            </w:tcMar>
            <w:vAlign w:val="center"/>
          </w:tcPr>
          <w:p>
            <w:pPr>
              <w:pStyle w:val="TableContents"/>
              <w:bidi w:val="0"/>
              <w:spacing w:before="0" w:after="283"/>
              <w:jc w:val="right"/>
              <w:rPr/>
            </w:pPr>
            <w:r>
              <w:rPr/>
              <w:t>(316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28" w:type="dxa"/>
            <w:tcBorders>
              <w:bottom w:val="double" w:sz="8" w:space="0" w:color="000000"/>
            </w:tcBorders>
            <w:tcMar>
              <w:bottom w:w="28" w:type="dxa"/>
            </w:tcMar>
            <w:vAlign w:val="center"/>
          </w:tcPr>
          <w:p>
            <w:pPr>
              <w:pStyle w:val="TableContents"/>
              <w:bidi w:val="0"/>
              <w:spacing w:before="0" w:after="283"/>
              <w:jc w:val="left"/>
              <w:rPr/>
            </w:pPr>
            <w:r>
              <w:rPr/>
              <w:t> </w:t>
            </w:r>
          </w:p>
        </w:tc>
        <w:tc>
          <w:tcPr>
            <w:tcW w:w="722" w:type="dxa"/>
            <w:tcBorders>
              <w:bottom w:val="double" w:sz="8" w:space="0" w:color="000000"/>
            </w:tcBorders>
            <w:tcMar>
              <w:bottom w:w="28" w:type="dxa"/>
            </w:tcMar>
            <w:vAlign w:val="center"/>
          </w:tcPr>
          <w:p>
            <w:pPr>
              <w:pStyle w:val="TableContents"/>
              <w:bidi w:val="0"/>
              <w:spacing w:before="0" w:after="283"/>
              <w:jc w:val="right"/>
              <w:rPr/>
            </w:pPr>
            <w:r>
              <w:rPr/>
              <w:t>8</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573,189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tcMar>
              <w:bottom w:w="28" w:type="dxa"/>
            </w:tcMar>
            <w:vAlign w:val="center"/>
          </w:tcPr>
          <w:p>
            <w:pPr>
              <w:pStyle w:val="TableContents"/>
              <w:bidi w:val="0"/>
              <w:spacing w:before="0" w:after="283"/>
              <w:jc w:val="left"/>
              <w:rPr/>
            </w:pPr>
            <w:r>
              <w:rPr/>
              <w:t>$</w:t>
            </w:r>
          </w:p>
        </w:tc>
        <w:tc>
          <w:tcPr>
            <w:tcW w:w="977" w:type="dxa"/>
            <w:tcBorders>
              <w:bottom w:val="double" w:sz="8" w:space="0" w:color="000000"/>
            </w:tcBorders>
            <w:tcMar>
              <w:bottom w:w="28" w:type="dxa"/>
            </w:tcMar>
            <w:vAlign w:val="center"/>
          </w:tcPr>
          <w:p>
            <w:pPr>
              <w:pStyle w:val="TableContents"/>
              <w:bidi w:val="0"/>
              <w:spacing w:before="0" w:after="283"/>
              <w:jc w:val="right"/>
              <w:rPr/>
            </w:pPr>
            <w:r>
              <w:rPr/>
              <w:t>(60,055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 </w:t>
            </w:r>
          </w:p>
        </w:tc>
        <w:tc>
          <w:tcPr>
            <w:tcW w:w="792" w:type="dxa"/>
            <w:tcBorders>
              <w:bottom w:val="double" w:sz="8" w:space="0" w:color="000000"/>
            </w:tcBorders>
            <w:tcMar>
              <w:bottom w:w="28" w:type="dxa"/>
            </w:tcMar>
            <w:vAlign w:val="center"/>
          </w:tcPr>
          <w:p>
            <w:pPr>
              <w:pStyle w:val="TableContents"/>
              <w:bidi w:val="0"/>
              <w:spacing w:before="0" w:after="283"/>
              <w:jc w:val="right"/>
              <w:rPr/>
            </w:pPr>
            <w:r>
              <w:rPr/>
              <w:t>230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588,341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83" w:type="dxa"/>
            <w:tcBorders>
              <w:bottom w:val="double" w:sz="8" w:space="0" w:color="000000"/>
            </w:tcBorders>
            <w:tcMar>
              <w:bottom w:w="28" w:type="dxa"/>
            </w:tcMar>
            <w:vAlign w:val="center"/>
          </w:tcPr>
          <w:p>
            <w:pPr>
              <w:pStyle w:val="TableContents"/>
              <w:bidi w:val="0"/>
              <w:spacing w:before="0" w:after="283"/>
              <w:jc w:val="left"/>
              <w:rPr/>
            </w:pPr>
            <w:r>
              <w:rPr/>
              <w:t>$</w:t>
            </w:r>
          </w:p>
        </w:tc>
        <w:tc>
          <w:tcPr>
            <w:tcW w:w="977" w:type="dxa"/>
            <w:tcBorders>
              <w:bottom w:val="double" w:sz="8" w:space="0" w:color="000000"/>
            </w:tcBorders>
            <w:tcMar>
              <w:bottom w:w="28" w:type="dxa"/>
            </w:tcMar>
            <w:vAlign w:val="center"/>
          </w:tcPr>
          <w:p>
            <w:pPr>
              <w:pStyle w:val="TableContents"/>
              <w:bidi w:val="0"/>
              <w:spacing w:before="0" w:after="283"/>
              <w:jc w:val="right"/>
              <w:rPr/>
            </w:pPr>
            <w:r>
              <w:rPr/>
              <w:t>(60,371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 </w:t>
            </w:r>
          </w:p>
        </w:tc>
        <w:tc>
          <w:tcPr>
            <w:tcW w:w="780" w:type="dxa"/>
            <w:tcBorders>
              <w:bottom w:val="double" w:sz="8" w:space="0" w:color="000000"/>
            </w:tcBorders>
            <w:tcMar>
              <w:bottom w:w="28" w:type="dxa"/>
            </w:tcMar>
            <w:vAlign w:val="center"/>
          </w:tcPr>
          <w:p>
            <w:pPr>
              <w:pStyle w:val="TableContents"/>
              <w:bidi w:val="0"/>
              <w:spacing w:before="0" w:after="283"/>
              <w:jc w:val="right"/>
              <w:rPr/>
            </w:pPr>
            <w:r>
              <w:rPr/>
              <w:t>238</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does not believe the AFS securities that were in an unrealized loss position as of June 30, 2026 and December 31, 2025, which consisted of 384 and 350 individual securities, respectively, represented a credit loss impairment. AFS debt securities in unrealized loss positions are evaluated for impairment related to credit losses at least quarterly. As of June 30, 2026 and December 31, 2025, the majority of the AFS securities in an unrealized loss position consisted of debt securities issued by U.S. government agencies or U.S. government-sponsored enterprises that carry the explicit and/or implicit guarantee of the U.S. government, which are widely recognized as “risk-free” and have a long history of zero credit losses. Total gross unrealized losses were primarily attributable to changes in interest rates, relative to when the investment securities were purchased, and not due to the credit quality of the investment securities. The Company does not intend to sell, nor is it more likely than not that the Company will be required to sell the securities before recovery of their amortized cost bases, which may be at maturity. The Company elected to exclude accrued interest receivable (“AIR”) from the amortized cost basis of debt securities. AIR on AFS debt securities totaled $6.5 million and $5.6 million at June 30, 2026 and December 31, 2025, respectively, and is excluded from the estimate of credit losses and reported in the other assets financial statement line.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None of the Bank’s HTM debt securities were past due or on nonaccrual status as of June 30, 2026 and December 31, 2025. There was no accrued interest reversed against interest income for the three and six months ended June 30, 2026 or the year ended December 31, 2025 as all securities remained in accrual status. In addition, there were no collateral-dependent HTM debt securities as of June 30, 2026 and December 31, 2025. There was no allowance for credit losses on HTM securities as of June 30, 2026 and December 31, 2025. As of June 30, 2026 and December 31, 2025, 63% and 65%, respectively, of the Company’s HTM debt securities were issued by U.S. government agencies or U.S. government-sponsored enterprises with bond ratings of A to AAA. These securities carry the explicit and/or implicit guarantee of the U.S. government, which are widely recognized as “risk-free” and have a long history of zero credit losses. Therefore, the Company did not record an allowance for credit losses for these securities as of June 30, 2026 and December 31, 2025. The remaining HTM debt securities at June 30, 2026 and December 31, 2025 were comprised of state and municipal obligations with bond ratings of A to AAA excluding the $113.9 million and $85.7 million, respectively, of local municipal bonds which are not rated. Based on the Company’s current expected credit losses (“CECL”) methodology, the expected credit loss on the HTM municipal bond portfolio was deemed immaterial, therefore no allowance for credit loss was recorded as of June 30, 2026 and December 31, 2025. AIR on HTM debt securities totaled $4.0 million at June 30, 2026 and $3.9 million at December 31, 2025 and is excluded from the estimate of credit losses and reported in the other assets financial statement line. </w: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6. Loans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 summary of loans, net of deferred fees and origination costs, by category</w:t>
      </w:r>
      <w:r>
        <w:rPr>
          <w:rFonts w:ascii="TimesNewRoman;Times New Roman;Times;Baskerville;Georgia;serif" w:hAnsi="TimesNewRoman;Times New Roman;Times;Baskerville;Georgia;serif"/>
          <w:position w:val="7"/>
          <w:sz w:val="16"/>
          <w:sz w:val="20"/>
        </w:rPr>
        <w:t>(1)</w:t>
      </w:r>
      <w:r>
        <w:rPr>
          <w:rFonts w:ascii="TimesNewRoman;Times New Roman;Times;Baskerville;Georgia;serif" w:hAnsi="TimesNewRoman;Times New Roman;Times;Baskerville;Georgia;serif"/>
          <w:sz w:val="20"/>
        </w:rPr>
        <w:t xml:space="preserve"> is as follows: </w:t>
      </w:r>
    </w:p>
    <w:p>
      <w:pPr>
        <w:pStyle w:val="TextBody"/>
        <w:bidi w:val="0"/>
        <w:spacing w:before="0" w:after="0"/>
        <w:jc w:val="left"/>
        <w:rPr/>
      </w:pPr>
      <w:r>
        <w:rPr/>
        <w:t xml:space="preserve">  </w:t>
      </w:r>
    </w:p>
    <w:tbl>
      <w:tblPr>
        <w:tblW w:w="6403" w:type="dxa"/>
        <w:jc w:val="left"/>
        <w:tblInd w:w="0" w:type="dxa"/>
        <w:tblLayout w:type="fixed"/>
        <w:tblCellMar>
          <w:top w:w="0" w:type="dxa"/>
          <w:left w:w="0" w:type="dxa"/>
          <w:bottom w:w="0" w:type="dxa"/>
          <w:right w:w="0" w:type="dxa"/>
        </w:tblCellMar>
      </w:tblPr>
      <w:tblGrid>
        <w:gridCol w:w="2450"/>
        <w:gridCol w:w="90"/>
        <w:gridCol w:w="196"/>
        <w:gridCol w:w="1308"/>
        <w:gridCol w:w="90"/>
        <w:gridCol w:w="90"/>
        <w:gridCol w:w="267"/>
        <w:gridCol w:w="1777"/>
        <w:gridCol w:w="135"/>
      </w:tblGrid>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450" w:type="dxa"/>
            <w:tcBorders/>
            <w:shd w:fill="CCEEFF" w:val="clear"/>
            <w:vAlign w:val="center"/>
          </w:tcPr>
          <w:p>
            <w:pPr>
              <w:pStyle w:val="TableContents"/>
              <w:bidi w:val="0"/>
              <w:spacing w:before="0" w:after="0"/>
              <w:ind w:left="0" w:right="0" w:hanging="144"/>
              <w:jc w:val="left"/>
              <w:rPr/>
            </w:pPr>
            <w:r>
              <w:rPr/>
              <w:t xml:space="preserve">Commercial &amp; industrial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b/>
              </w:rPr>
            </w:pPr>
            <w:r>
              <w:rPr>
                <w:b/>
              </w:rPr>
              <w:t>$</w:t>
            </w:r>
          </w:p>
        </w:tc>
        <w:tc>
          <w:tcPr>
            <w:tcW w:w="1308" w:type="dxa"/>
            <w:tcBorders/>
            <w:shd w:fill="CCEEFF" w:val="clear"/>
            <w:vAlign w:val="center"/>
          </w:tcPr>
          <w:p>
            <w:pPr>
              <w:pStyle w:val="TableContents"/>
              <w:bidi w:val="0"/>
              <w:spacing w:before="0" w:after="283"/>
              <w:jc w:val="right"/>
              <w:rPr>
                <w:b/>
              </w:rPr>
            </w:pPr>
            <w:r>
              <w:rPr>
                <w:b/>
              </w:rPr>
              <w:t>1,755,123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777" w:type="dxa"/>
            <w:tcBorders/>
            <w:shd w:fill="CCEEFF" w:val="clear"/>
            <w:vAlign w:val="center"/>
          </w:tcPr>
          <w:p>
            <w:pPr>
              <w:pStyle w:val="TableContents"/>
              <w:bidi w:val="0"/>
              <w:spacing w:before="0" w:after="283"/>
              <w:jc w:val="right"/>
              <w:rPr/>
            </w:pPr>
            <w:r>
              <w:rPr/>
              <w:t>1,671,974</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ind w:left="0" w:right="0" w:hanging="144"/>
              <w:jc w:val="left"/>
              <w:rPr/>
            </w:pPr>
            <w:r>
              <w:rPr/>
              <w:t xml:space="preserve">Commercial real estate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b/>
              </w:rPr>
            </w:pPr>
            <w:r>
              <w:rPr>
                <w:b/>
              </w:rPr>
              <w:t>4,893,543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4,798,957</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144"/>
              <w:jc w:val="left"/>
              <w:rPr/>
            </w:pPr>
            <w:r>
              <w:rPr/>
              <w:t xml:space="preserve">Residential mortgage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b/>
              </w:rPr>
            </w:pPr>
            <w:r>
              <w:rPr>
                <w:b/>
              </w:rPr>
              <w:t>2,558,338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right"/>
              <w:rPr/>
            </w:pPr>
            <w:r>
              <w:rPr/>
              <w:t>2,537,593</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ind w:left="0" w:right="0" w:hanging="144"/>
              <w:jc w:val="left"/>
              <w:rPr/>
            </w:pPr>
            <w:r>
              <w:rPr/>
              <w:t xml:space="preserve">Home equity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b/>
              </w:rPr>
            </w:pPr>
            <w:r>
              <w:rPr>
                <w:b/>
              </w:rPr>
              <w:t>465,340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448,113</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144"/>
              <w:jc w:val="left"/>
              <w:rPr/>
            </w:pPr>
            <w:r>
              <w:rPr/>
              <w:t xml:space="preserve">Indirect auto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b/>
              </w:rPr>
            </w:pPr>
            <w:r>
              <w:rPr>
                <w:b/>
              </w:rPr>
              <w:t>1,450,482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right"/>
              <w:rPr/>
            </w:pPr>
            <w:r>
              <w:rPr/>
              <w:t>1,340,524</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ind w:left="0" w:right="0" w:hanging="144"/>
              <w:jc w:val="left"/>
              <w:rPr/>
            </w:pPr>
            <w:r>
              <w:rPr/>
              <w:t xml:space="preserve">Residential solar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b/>
              </w:rPr>
            </w:pPr>
            <w:r>
              <w:rPr>
                <w:b/>
              </w:rPr>
              <w:t>693,177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736,970</w:t>
            </w:r>
          </w:p>
        </w:tc>
        <w:tc>
          <w:tcPr>
            <w:tcW w:w="135" w:type="dxa"/>
            <w:tcBorders/>
            <w:vAlign w:val="center"/>
          </w:tcPr>
          <w:p>
            <w:pPr>
              <w:pStyle w:val="TableContents"/>
              <w:bidi w:val="0"/>
              <w:spacing w:before="0" w:after="283"/>
              <w:jc w:val="left"/>
              <w:rPr/>
            </w:pPr>
            <w:r>
              <w:rPr/>
              <w:t> </w:t>
            </w:r>
          </w:p>
        </w:tc>
      </w:tr>
      <w:tr>
        <w:trPr/>
        <w:tc>
          <w:tcPr>
            <w:tcW w:w="245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consumer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58,078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7" w:type="dxa"/>
            <w:tcBorders>
              <w:bottom w:val="single" w:sz="12" w:space="0" w:color="000000"/>
            </w:tcBorders>
            <w:shd w:fill="CCEEFF" w:val="clear"/>
            <w:tcMar>
              <w:bottom w:w="28" w:type="dxa"/>
            </w:tcMar>
            <w:vAlign w:val="center"/>
          </w:tcPr>
          <w:p>
            <w:pPr>
              <w:pStyle w:val="TableContents"/>
              <w:bidi w:val="0"/>
              <w:spacing w:before="0" w:after="283"/>
              <w:jc w:val="right"/>
              <w:rPr/>
            </w:pPr>
            <w:r>
              <w:rPr/>
              <w:t>63,983</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450" w:type="dxa"/>
            <w:tcBorders>
              <w:bottom w:val="double" w:sz="8" w:space="0" w:color="000000"/>
            </w:tcBorders>
            <w:tcMar>
              <w:bottom w:w="28" w:type="dxa"/>
            </w:tcMar>
            <w:vAlign w:val="center"/>
          </w:tcPr>
          <w:p>
            <w:pPr>
              <w:pStyle w:val="TableContents"/>
              <w:bidi w:val="0"/>
              <w:spacing w:before="0" w:after="0"/>
              <w:jc w:val="left"/>
              <w:rPr/>
            </w:pPr>
            <w:r>
              <w:rPr/>
              <w:t xml:space="preserve">Total loans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96"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308" w:type="dxa"/>
            <w:tcBorders>
              <w:bottom w:val="double" w:sz="8" w:space="0" w:color="000000"/>
            </w:tcBorders>
            <w:tcMar>
              <w:bottom w:w="28" w:type="dxa"/>
            </w:tcMar>
            <w:vAlign w:val="center"/>
          </w:tcPr>
          <w:p>
            <w:pPr>
              <w:pStyle w:val="TableContents"/>
              <w:bidi w:val="0"/>
              <w:spacing w:before="0" w:after="283"/>
              <w:jc w:val="right"/>
              <w:rPr>
                <w:b/>
              </w:rPr>
            </w:pPr>
            <w:r>
              <w:rPr>
                <w:b/>
              </w:rPr>
              <w:t>11,874,081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267" w:type="dxa"/>
            <w:tcBorders>
              <w:bottom w:val="double" w:sz="8" w:space="0" w:color="000000"/>
            </w:tcBorders>
            <w:tcMar>
              <w:bottom w:w="28" w:type="dxa"/>
            </w:tcMar>
            <w:vAlign w:val="center"/>
          </w:tcPr>
          <w:p>
            <w:pPr>
              <w:pStyle w:val="TableContents"/>
              <w:bidi w:val="0"/>
              <w:spacing w:before="0" w:after="283"/>
              <w:jc w:val="left"/>
              <w:rPr/>
            </w:pPr>
            <w:r>
              <w:rPr/>
              <w:t>$</w:t>
            </w:r>
          </w:p>
        </w:tc>
        <w:tc>
          <w:tcPr>
            <w:tcW w:w="1777" w:type="dxa"/>
            <w:tcBorders>
              <w:bottom w:val="double" w:sz="8" w:space="0" w:color="000000"/>
            </w:tcBorders>
            <w:tcMar>
              <w:bottom w:w="28" w:type="dxa"/>
            </w:tcMar>
            <w:vAlign w:val="center"/>
          </w:tcPr>
          <w:p>
            <w:pPr>
              <w:pStyle w:val="TableContents"/>
              <w:bidi w:val="0"/>
              <w:spacing w:before="0" w:after="283"/>
              <w:jc w:val="right"/>
              <w:rPr/>
            </w:pPr>
            <w:r>
              <w:rPr/>
              <w:t>11,598,114</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Loans are summarized by business line which does not align to how the Company assesses credit risk in the allowance for credit losses under CECL.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46685"/>
                <wp:effectExtent l="0" t="0" r="0" b="0"/>
                <wp:wrapSquare wrapText="right"/>
                <wp:docPr id="4" name="Frame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Included in the above loans are net deferred loan origination (fees) costs totaling $(27.6) million and $(37.9) million at June 30, 2026 and December 31, 2025, respectively.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7. Allowance for Credit Losses and Credit Quality of Loans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totaled $140.5 million at June 30, 2026, compared to $138.0 million at December 31, 2025. The allowance for credit losses as a percentage of loans was 1.18% at June 30, 2026, compared to 1.19% at December 31, 2025.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calculation incorporated a 6-quarter forecast period to account for forecast economic conditions under each scenario utilized in the measurement. For periods beyond the 6-quarter forecast, the model reverts to long-term economic conditions over a 4-quarter reversion period on a straight-line basis. The Company considers a baseline, upside and downside economic forecast in measuring the allowance. From the second quarter of 2025 through the fourth quarter of 2025, the Company included an additional downside scenario with stagflation conditions, which is characterized as an economic environment where inflation rises alongside unemployment. Stagflation was identified as an emerging risk as tariff policies impacted the economy.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quantitative model as of June 30, 2026 incorporated a baseline economic outlook along with alternative upside and downside scenarios sourced from a reputable third-party to accommodate other potential economic conditions in the model. At June 30, 2026, the weightings were 60%, 5% and 35% for the baseline, upside and downside economic forecast scenarios, respectively. The baseline outlook reflected an economic environment where the northeast unemployment rate increases from 4.46% in the second quarter of 2026 to 4.65% by the end of the forecast period, with a peak northeast unemployment rate of 4.69% in the second quarter of 2027. National Gross Domestic Product (“GDP”) annualized growth (on a quarterly basis) is expected to start the third quarter of 2026 at approximately 1.95% and decrease to 1.93% by the end of the forecast period. Key assumptions in the baseline economic outlook included the Federal Reserve keeping their policy rate in the current range of 3.50%-3.75% and the economy remaining at full employment. The alternative upside scenario assumes improved economic conditions from the baseline outlook. Under this scenario, northeast unemployment falls from 4.46% in the second quarter of 2026 to 3.85% in the third quarter of 2027 and eventually settles at 3.90% by the end of the forecast period. The alternative downside scenario with recessionary conditions assumes deteriorated economic conditions from the baseline outlook. Under this scenario, northeast unemployment rises from 4.46% in the second quarter of 2026 to a peak of 7.81% in the third quarter of 2027. These scenarios and their respective weightings are evaluated at each measurement date and reflect management’s expectations as of June 30, 2026. Additional qualitative adjustments were made for factors not incorporated in the forecasts or the model, such as loss rate expectations for certain loan pools.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quantitative model as of March 31, 2026 incorporated a baseline economic outlook along with alternative upside and downside scenarios sourced from a reputable third-party to accommodate other potential economic conditions in the model. At March 31, 2026, the weightings were 60%, 5% and 35% for the baseline, upside and downside economic forecast scenarios, respectively. The baseline outlook reflected an economic environment where the northeast unemployment rate decreases from 4.6% in the second quarter of 2026 to 4.56% by the end of the forecast period, with a peak northeast unemployment rate of 4.6% in the third quarter of 2026. National GDP annualized growth (on a quarterly basis) is expected to start the second quarter of 2026 at approximately 2.75% and decrease to 1.72% by the end of the forecast period. Key assumptions in the baseline economic outlook included the Federal Reserve cutting rates with two 25 basis point cuts at the June and September meetings and the economy remaining at full employment. The alternative upside scenario assumes improved economic conditions from the baseline outlook. Under this scenario, northeast unemployment falls from 4.6% in the first quarter of 2026 to 3.7% in the second quarter of 2027 and eventually settles at 3.8% by the end of the forecast period. The alternative downside scenario with recessionary conditions assumes deteriorated economic conditions from the baseline outlook. Under this scenario, northeast unemployment rises from 4.6% in the first quarter of 2026 to a peak of 7.8% in the second quarter of 2027. The alternative downside stagflation scenario was removed in the first quarter of 2026 following a recalibration of the scenario’s narrative and model by the reputable third-party, which no longer provided a relevant stagflation scenario. These scenarios and their respective weightings are evaluated at each measurement date and reflect management’s expectations as of March 31, 2026. Additional qualitative adjustments were made for factors not incorporated in the forecasts or the model, such as loss rate expectations for certain loan pools and recent trends in asset value indices. Additional monitoring for industry concentrations, loan growth and policy exceptions was also conducted.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quantitative model as of December 31, 2025 incorporated a baseline economic outlook along with alternative upside scenario and two equally weighted downside scenarios, recessionary conditions and stagflation, sourced from a reputable third-party to accommodate other potential economic conditions in the model. At December 31, 2025, the weightings were 65%, 5% and 30% for the baseline, upside and downside economic forecast scenarios, respectively. The baseline outlook reflected an economic environment where the northeast unemployment rate increases from 4.5% in the first quarter of 2026 to 4.8% by the end of the forecast period, with a peak northeast unemployment rate of 4.9% in the fourth quarter of 2026. National GDP annualized growth (on a quarterly basis) is expected to start the first quarter of 2026 at approximately 2.55% and decrease to 1.8% by the end of the forecast period. Key assumptions in the baseline economic outlook included the Federal Reserve cutting rates with one 25 basis point cut at the December meeting and the economy remaining at full employment. The alternative upside scenario assumes improved economic conditions from the baseline outlook. Under this scenario, northeast unemployment falls from 4.4% in the fourth quarter of 2025 to 4.0% in the second quarter of 2026 and eventually settles at 4.1% by the end of the forecast period. The alternative downside scenario with recessionary conditions assumes deteriorated economic conditions from the baseline outlook. Under this scenario, northeast unemployment rises from 4.4% in the fourth quarter of 2025 to a peak of 7.8% in the first quarter of 2027. The alternative downside stagflation scenario assumes deteriorated economic conditions from the baseline outlook. Under this scenario, northeast unemployment rises from 4.4% in the fourth quarter of 2025 to 6% by the end of the forecast period in the second quarter of 2027, with a peak northeast unemployment rate of 8.2% in the first quarter of 2028. These scenarios and their respective weightings are evaluated at each measurement date and reflect management’s expectations as of December 31, 2025. Additional qualitative adjustments were made for factors not incorporated in the forecasts or the model, such as loss rate expectations for certain loan pools, reversion adjustments for the stagflation scenario and recent trends in asset value indices. Additional monitoring for industry concentrations, loan growth and policy exceptions was also conducted.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were no loans purchased with credit deterioration during the three and six months ended June 30, 2026. There were $336.4 million of PCD loans acquired from Evans during the year ended December 31, 2025, which resulted in an allowance for credit losses at acquisition of $7.7 million. During six months ended June 30, 2026, the Company purchased $7.7 million of residential loans at a 4.5% premium with an $82 thousand allowance for credit losses recorded for these loans. During 2025, the Company purchased $21.3 million of residential loans at a 4.5% premium with a $234 thousand allowance for credit losses recorded for these loans.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made a policy election to report AIR in the other assets line item on the consolidated balance sheets. AIR on loans totaled $42.0 million at June 30, 2026 and $42.5 million at December 31, 2025 and with no estimated allowance for credit losses related to AIR at June 30, 2026 and December 31, 2025 as it is excluded from amortized cost.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present the activity in the allowance for credit losses by our portfolio segments: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421"/>
        <w:gridCol w:w="90"/>
        <w:gridCol w:w="250"/>
        <w:gridCol w:w="1045"/>
        <w:gridCol w:w="185"/>
        <w:gridCol w:w="90"/>
        <w:gridCol w:w="215"/>
        <w:gridCol w:w="900"/>
        <w:gridCol w:w="185"/>
        <w:gridCol w:w="90"/>
        <w:gridCol w:w="235"/>
        <w:gridCol w:w="992"/>
        <w:gridCol w:w="185"/>
        <w:gridCol w:w="90"/>
        <w:gridCol w:w="170"/>
        <w:gridCol w:w="830"/>
        <w:gridCol w:w="232"/>
      </w:tblGrid>
      <w:tr>
        <w:trPr/>
        <w:tc>
          <w:tcPr>
            <w:tcW w:w="44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421"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b/>
              </w:rPr>
              <w:t>Commercial</w:t>
              <w:br/>
              <w:t>Loans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b/>
              </w:rPr>
              <w:t>Consumer</w:t>
              <w:br/>
              <w:t>Loans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pPr>
            <w:r>
              <w:rPr>
                <w:b/>
              </w:rPr>
              <w:t>Residential</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2"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421" w:type="dxa"/>
            <w:tcBorders/>
            <w:shd w:fill="CCEEFF" w:val="clear"/>
            <w:vAlign w:val="center"/>
          </w:tcPr>
          <w:p>
            <w:pPr>
              <w:pStyle w:val="TableContents"/>
              <w:bidi w:val="0"/>
              <w:spacing w:before="0" w:after="0"/>
              <w:ind w:left="0" w:right="0" w:hanging="144"/>
              <w:jc w:val="left"/>
              <w:rPr/>
            </w:pPr>
            <w:r>
              <w:rPr>
                <w:b/>
              </w:rPr>
              <w:t>Balance as of March 31, 2026</w:t>
            </w:r>
            <w:r>
              <w:rPr/>
              <w:t xml:space="preserve">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b/>
              </w:rPr>
            </w:pPr>
            <w:r>
              <w:rPr>
                <w:b/>
              </w:rPr>
              <w:t>$</w:t>
            </w:r>
          </w:p>
        </w:tc>
        <w:tc>
          <w:tcPr>
            <w:tcW w:w="1045" w:type="dxa"/>
            <w:tcBorders/>
            <w:shd w:fill="CCEEFF" w:val="clear"/>
            <w:vAlign w:val="center"/>
          </w:tcPr>
          <w:p>
            <w:pPr>
              <w:pStyle w:val="TableContents"/>
              <w:bidi w:val="0"/>
              <w:spacing w:before="0" w:after="283"/>
              <w:jc w:val="right"/>
              <w:rPr>
                <w:b/>
              </w:rPr>
            </w:pPr>
            <w:r>
              <w:rPr>
                <w:b/>
              </w:rPr>
              <w:t>63,096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900" w:type="dxa"/>
            <w:tcBorders/>
            <w:shd w:fill="CCEEFF" w:val="clear"/>
            <w:vAlign w:val="center"/>
          </w:tcPr>
          <w:p>
            <w:pPr>
              <w:pStyle w:val="TableContents"/>
              <w:bidi w:val="0"/>
              <w:spacing w:before="0" w:after="283"/>
              <w:jc w:val="right"/>
              <w:rPr>
                <w:b/>
              </w:rPr>
            </w:pPr>
            <w:r>
              <w:rPr>
                <w:b/>
              </w:rPr>
              <w:t>44,047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b/>
              </w:rPr>
            </w:pPr>
            <w:r>
              <w:rPr>
                <w:b/>
              </w:rPr>
              <w:t>$</w:t>
            </w:r>
          </w:p>
        </w:tc>
        <w:tc>
          <w:tcPr>
            <w:tcW w:w="992" w:type="dxa"/>
            <w:tcBorders/>
            <w:shd w:fill="CCEEFF" w:val="clear"/>
            <w:vAlign w:val="center"/>
          </w:tcPr>
          <w:p>
            <w:pPr>
              <w:pStyle w:val="TableContents"/>
              <w:bidi w:val="0"/>
              <w:spacing w:before="0" w:after="283"/>
              <w:jc w:val="right"/>
              <w:rPr>
                <w:b/>
              </w:rPr>
            </w:pPr>
            <w:r>
              <w:rPr>
                <w:b/>
              </w:rPr>
              <w:t>31,457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138,600</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vAlign w:val="center"/>
          </w:tcPr>
          <w:p>
            <w:pPr>
              <w:pStyle w:val="TableContents"/>
              <w:bidi w:val="0"/>
              <w:spacing w:before="0" w:after="0"/>
              <w:ind w:left="0" w:right="0" w:hanging="144"/>
              <w:jc w:val="left"/>
              <w:rPr/>
            </w:pPr>
            <w:r>
              <w:rPr/>
              <w:t xml:space="preserve">Charge-offs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b/>
              </w:rPr>
            </w:pPr>
            <w:r>
              <w:rPr>
                <w:b/>
              </w:rPr>
              <w:t>(1,379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b/>
              </w:rPr>
            </w:pPr>
            <w:r>
              <w:rPr>
                <w:b/>
              </w:rPr>
              <w:t>(4,424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b/>
              </w:rPr>
            </w:pPr>
            <w:r>
              <w:rPr>
                <w:b/>
              </w:rPr>
              <w:t>(193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(5,996</w:t>
            </w:r>
          </w:p>
        </w:tc>
        <w:tc>
          <w:tcPr>
            <w:tcW w:w="232" w:type="dxa"/>
            <w:tcBorders/>
            <w:vAlign w:val="center"/>
          </w:tcPr>
          <w:p>
            <w:pPr>
              <w:pStyle w:val="TableContents"/>
              <w:bidi w:val="0"/>
              <w:spacing w:before="0" w:after="283"/>
              <w:jc w:val="left"/>
              <w:rPr>
                <w:b/>
              </w:rPr>
            </w:pPr>
            <w:r>
              <w:rPr>
                <w:b/>
              </w:rPr>
              <w:t>) </w:t>
            </w:r>
          </w:p>
        </w:tc>
      </w:tr>
      <w:tr>
        <w:trPr/>
        <w:tc>
          <w:tcPr>
            <w:tcW w:w="4421" w:type="dxa"/>
            <w:tcBorders/>
            <w:shd w:fill="CCEEFF" w:val="clear"/>
            <w:vAlign w:val="center"/>
          </w:tcPr>
          <w:p>
            <w:pPr>
              <w:pStyle w:val="TableContents"/>
              <w:bidi w:val="0"/>
              <w:spacing w:before="0" w:after="0"/>
              <w:ind w:left="0" w:right="0" w:hanging="144"/>
              <w:jc w:val="left"/>
              <w:rPr/>
            </w:pPr>
            <w:r>
              <w:rPr/>
              <w:t xml:space="preserve">Recoveries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b/>
              </w:rPr>
            </w:pPr>
            <w:r>
              <w:rPr>
                <w:b/>
              </w:rPr>
              <w:t>107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b/>
              </w:rPr>
            </w:pPr>
            <w:r>
              <w:rPr>
                <w:b/>
              </w:rPr>
              <w:t>1,478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b/>
              </w:rPr>
            </w:pPr>
            <w:r>
              <w:rPr>
                <w:b/>
              </w:rPr>
              <w:t>175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1,760</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Provision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before="0" w:after="283"/>
              <w:jc w:val="right"/>
              <w:rPr>
                <w:b/>
              </w:rPr>
            </w:pPr>
            <w:r>
              <w:rPr>
                <w:b/>
              </w:rPr>
              <w:t>2,738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b/>
              </w:rPr>
            </w:pPr>
            <w:r>
              <w:rPr>
                <w:b/>
              </w:rPr>
              <w:t>2,706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tcMar>
              <w:bottom w:w="28" w:type="dxa"/>
            </w:tcMar>
            <w:vAlign w:val="center"/>
          </w:tcPr>
          <w:p>
            <w:pPr>
              <w:pStyle w:val="TableContents"/>
              <w:bidi w:val="0"/>
              <w:spacing w:before="0" w:after="283"/>
              <w:jc w:val="right"/>
              <w:rPr>
                <w:b/>
              </w:rPr>
            </w:pPr>
            <w:r>
              <w:rPr>
                <w:b/>
              </w:rPr>
              <w:t>692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6,136</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421"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b/>
              </w:rPr>
              <w:t>Ending balance as of June 30, 2026</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5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45"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64,562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43,807</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9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32,131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140,500</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421" w:type="dxa"/>
            <w:tcBorders/>
            <w:vAlign w:val="center"/>
          </w:tcPr>
          <w:p>
            <w:pPr>
              <w:pStyle w:val="TableContents"/>
              <w:bidi w:val="0"/>
              <w:spacing w:before="0" w:after="0"/>
              <w:ind w:left="0" w:right="0" w:hanging="144"/>
              <w:jc w:val="left"/>
              <w:rPr/>
            </w:pPr>
            <w:r>
              <w:rPr>
                <w:b/>
              </w:rPr>
              <w:t>Balance as of March 31, 2025</w:t>
            </w:r>
            <w:r>
              <w:rPr/>
              <w:t xml:space="preserve">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w:t>
            </w:r>
          </w:p>
        </w:tc>
        <w:tc>
          <w:tcPr>
            <w:tcW w:w="1045" w:type="dxa"/>
            <w:tcBorders/>
            <w:vAlign w:val="center"/>
          </w:tcPr>
          <w:p>
            <w:pPr>
              <w:pStyle w:val="TableContents"/>
              <w:bidi w:val="0"/>
              <w:spacing w:before="0" w:after="283"/>
              <w:jc w:val="right"/>
              <w:rPr/>
            </w:pPr>
            <w:r>
              <w:rPr/>
              <w:t>48,730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41,696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992" w:type="dxa"/>
            <w:tcBorders/>
            <w:vAlign w:val="center"/>
          </w:tcPr>
          <w:p>
            <w:pPr>
              <w:pStyle w:val="TableContents"/>
              <w:bidi w:val="0"/>
              <w:spacing w:before="0" w:after="283"/>
              <w:jc w:val="right"/>
              <w:rPr/>
            </w:pPr>
            <w:r>
              <w:rPr/>
              <w:t>26,574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117,000</w:t>
            </w:r>
          </w:p>
        </w:tc>
        <w:tc>
          <w:tcPr>
            <w:tcW w:w="232" w:type="dxa"/>
            <w:tcBorders/>
            <w:vAlign w:val="center"/>
          </w:tcPr>
          <w:p>
            <w:pPr>
              <w:pStyle w:val="TableContents"/>
              <w:bidi w:val="0"/>
              <w:spacing w:before="0" w:after="283"/>
              <w:jc w:val="left"/>
              <w:rPr/>
            </w:pPr>
            <w:r>
              <w:rPr/>
              <w:t> </w:t>
            </w:r>
          </w:p>
        </w:tc>
      </w:tr>
      <w:tr>
        <w:trPr/>
        <w:tc>
          <w:tcPr>
            <w:tcW w:w="4421" w:type="dxa"/>
            <w:tcBorders/>
            <w:shd w:fill="CCEEFF" w:val="clear"/>
            <w:vAlign w:val="center"/>
          </w:tcPr>
          <w:p>
            <w:pPr>
              <w:pStyle w:val="TableContents"/>
              <w:bidi w:val="0"/>
              <w:spacing w:before="0" w:after="0"/>
              <w:ind w:left="0" w:right="0" w:hanging="144"/>
              <w:jc w:val="left"/>
              <w:rPr/>
            </w:pPr>
            <w:r>
              <w:rPr/>
              <w:t xml:space="preserve">Allowance for credit loss on PCD acquired loans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7,355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7,726</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vAlign w:val="center"/>
          </w:tcPr>
          <w:p>
            <w:pPr>
              <w:pStyle w:val="TableContents"/>
              <w:bidi w:val="0"/>
              <w:spacing w:before="0" w:after="0"/>
              <w:ind w:left="0" w:right="0" w:hanging="144"/>
              <w:jc w:val="left"/>
              <w:rPr/>
            </w:pPr>
            <w:r>
              <w:rPr/>
              <w:t xml:space="preserve">Charge-offs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(533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(3,837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(4,431</w:t>
            </w:r>
          </w:p>
        </w:tc>
        <w:tc>
          <w:tcPr>
            <w:tcW w:w="232" w:type="dxa"/>
            <w:tcBorders/>
            <w:vAlign w:val="center"/>
          </w:tcPr>
          <w:p>
            <w:pPr>
              <w:pStyle w:val="TableContents"/>
              <w:bidi w:val="0"/>
              <w:spacing w:before="0" w:after="283"/>
              <w:jc w:val="left"/>
              <w:rPr/>
            </w:pPr>
            <w:r>
              <w:rPr/>
              <w:t>) </w:t>
            </w:r>
          </w:p>
        </w:tc>
      </w:tr>
      <w:tr>
        <w:trPr/>
        <w:tc>
          <w:tcPr>
            <w:tcW w:w="4421" w:type="dxa"/>
            <w:tcBorders/>
            <w:shd w:fill="CCEEFF" w:val="clear"/>
            <w:vAlign w:val="center"/>
          </w:tcPr>
          <w:p>
            <w:pPr>
              <w:pStyle w:val="TableContents"/>
              <w:bidi w:val="0"/>
              <w:spacing w:before="0" w:after="0"/>
              <w:ind w:left="0" w:right="0" w:hanging="144"/>
              <w:jc w:val="left"/>
              <w:rPr/>
            </w:pPr>
            <w:r>
              <w:rPr/>
              <w:t xml:space="preserve">Recoveries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409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1,566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2,070</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Provision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before="0" w:after="283"/>
              <w:jc w:val="right"/>
              <w:rPr/>
            </w:pPr>
            <w:r>
              <w:rPr/>
              <w:t>10,060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1,444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tcMar>
              <w:bottom w:w="28" w:type="dxa"/>
            </w:tcMar>
            <w:vAlign w:val="center"/>
          </w:tcPr>
          <w:p>
            <w:pPr>
              <w:pStyle w:val="TableContents"/>
              <w:bidi w:val="0"/>
              <w:spacing w:before="0" w:after="283"/>
              <w:jc w:val="right"/>
              <w:rPr/>
            </w:pPr>
            <w:r>
              <w:rPr/>
              <w:t>6,331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17,835</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421"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b/>
              </w:rPr>
              <w:t>Ending balance as of June 30, 2025</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5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45" w:type="dxa"/>
            <w:tcBorders>
              <w:bottom w:val="double" w:sz="8" w:space="0" w:color="000000"/>
            </w:tcBorders>
            <w:shd w:fill="CCEEFF" w:val="clear"/>
            <w:tcMar>
              <w:bottom w:w="28" w:type="dxa"/>
            </w:tcMar>
            <w:vAlign w:val="center"/>
          </w:tcPr>
          <w:p>
            <w:pPr>
              <w:pStyle w:val="TableContents"/>
              <w:bidi w:val="0"/>
              <w:spacing w:before="0" w:after="283"/>
              <w:jc w:val="right"/>
              <w:rPr/>
            </w:pPr>
            <w:r>
              <w:rPr/>
              <w:t>66,021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8" w:space="0" w:color="000000"/>
            </w:tcBorders>
            <w:shd w:fill="CCEEFF" w:val="clear"/>
            <w:tcMar>
              <w:bottom w:w="28" w:type="dxa"/>
            </w:tcMar>
            <w:vAlign w:val="center"/>
          </w:tcPr>
          <w:p>
            <w:pPr>
              <w:pStyle w:val="TableContents"/>
              <w:bidi w:val="0"/>
              <w:spacing w:before="0" w:after="283"/>
              <w:jc w:val="right"/>
              <w:rPr/>
            </w:pPr>
            <w:r>
              <w:rPr/>
              <w:t>40,869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92" w:type="dxa"/>
            <w:tcBorders>
              <w:bottom w:val="double" w:sz="8" w:space="0" w:color="000000"/>
            </w:tcBorders>
            <w:shd w:fill="CCEEFF" w:val="clear"/>
            <w:tcMar>
              <w:bottom w:w="28" w:type="dxa"/>
            </w:tcMar>
            <w:vAlign w:val="center"/>
          </w:tcPr>
          <w:p>
            <w:pPr>
              <w:pStyle w:val="TableContents"/>
              <w:bidi w:val="0"/>
              <w:spacing w:before="0" w:after="283"/>
              <w:jc w:val="right"/>
              <w:rPr/>
            </w:pPr>
            <w:r>
              <w:rPr/>
              <w:t>33,310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140,200</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421"/>
        <w:gridCol w:w="90"/>
        <w:gridCol w:w="250"/>
        <w:gridCol w:w="1045"/>
        <w:gridCol w:w="185"/>
        <w:gridCol w:w="90"/>
        <w:gridCol w:w="215"/>
        <w:gridCol w:w="900"/>
        <w:gridCol w:w="185"/>
        <w:gridCol w:w="90"/>
        <w:gridCol w:w="235"/>
        <w:gridCol w:w="992"/>
        <w:gridCol w:w="185"/>
        <w:gridCol w:w="90"/>
        <w:gridCol w:w="170"/>
        <w:gridCol w:w="830"/>
        <w:gridCol w:w="232"/>
      </w:tblGrid>
      <w:tr>
        <w:trPr/>
        <w:tc>
          <w:tcPr>
            <w:tcW w:w="44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421"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b/>
              </w:rPr>
              <w:t>Commercial</w:t>
              <w:br/>
              <w:t>Loans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b/>
              </w:rPr>
              <w:t>Consumer</w:t>
              <w:br/>
              <w:t>Loans</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pPr>
            <w:r>
              <w:rPr>
                <w:b/>
              </w:rPr>
              <w:t>Residential</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2"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421" w:type="dxa"/>
            <w:tcBorders/>
            <w:shd w:fill="CCEEFF" w:val="clear"/>
            <w:vAlign w:val="center"/>
          </w:tcPr>
          <w:p>
            <w:pPr>
              <w:pStyle w:val="TableContents"/>
              <w:bidi w:val="0"/>
              <w:spacing w:before="0" w:after="0"/>
              <w:ind w:left="0" w:right="0" w:hanging="144"/>
              <w:jc w:val="left"/>
              <w:rPr/>
            </w:pPr>
            <w:r>
              <w:rPr>
                <w:b/>
              </w:rPr>
              <w:t>Balance as of December 31, 2025</w:t>
            </w:r>
            <w:r>
              <w:rPr/>
              <w:t xml:space="preserve">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b/>
              </w:rPr>
            </w:pPr>
            <w:r>
              <w:rPr>
                <w:b/>
              </w:rPr>
              <w:t>$</w:t>
            </w:r>
          </w:p>
        </w:tc>
        <w:tc>
          <w:tcPr>
            <w:tcW w:w="1045" w:type="dxa"/>
            <w:tcBorders/>
            <w:shd w:fill="CCEEFF" w:val="clear"/>
            <w:vAlign w:val="center"/>
          </w:tcPr>
          <w:p>
            <w:pPr>
              <w:pStyle w:val="TableContents"/>
              <w:bidi w:val="0"/>
              <w:spacing w:before="0" w:after="283"/>
              <w:jc w:val="right"/>
              <w:rPr>
                <w:b/>
              </w:rPr>
            </w:pPr>
            <w:r>
              <w:rPr>
                <w:b/>
              </w:rPr>
              <w:t>61,725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900" w:type="dxa"/>
            <w:tcBorders/>
            <w:shd w:fill="CCEEFF" w:val="clear"/>
            <w:vAlign w:val="center"/>
          </w:tcPr>
          <w:p>
            <w:pPr>
              <w:pStyle w:val="TableContents"/>
              <w:bidi w:val="0"/>
              <w:spacing w:before="0" w:after="283"/>
              <w:jc w:val="right"/>
              <w:rPr>
                <w:b/>
              </w:rPr>
            </w:pPr>
            <w:r>
              <w:rPr>
                <w:b/>
              </w:rPr>
              <w:t>42,583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b/>
              </w:rPr>
            </w:pPr>
            <w:r>
              <w:rPr>
                <w:b/>
              </w:rPr>
              <w:t>$</w:t>
            </w:r>
          </w:p>
        </w:tc>
        <w:tc>
          <w:tcPr>
            <w:tcW w:w="992" w:type="dxa"/>
            <w:tcBorders/>
            <w:shd w:fill="CCEEFF" w:val="clear"/>
            <w:vAlign w:val="center"/>
          </w:tcPr>
          <w:p>
            <w:pPr>
              <w:pStyle w:val="TableContents"/>
              <w:bidi w:val="0"/>
              <w:spacing w:before="0" w:after="283"/>
              <w:jc w:val="right"/>
              <w:rPr>
                <w:b/>
              </w:rPr>
            </w:pPr>
            <w:r>
              <w:rPr>
                <w:b/>
              </w:rPr>
              <w:t>33,692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138,000</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vAlign w:val="center"/>
          </w:tcPr>
          <w:p>
            <w:pPr>
              <w:pStyle w:val="TableContents"/>
              <w:bidi w:val="0"/>
              <w:spacing w:before="0" w:after="0"/>
              <w:ind w:left="0" w:right="0" w:hanging="144"/>
              <w:jc w:val="left"/>
              <w:rPr/>
            </w:pPr>
            <w:r>
              <w:rPr/>
              <w:t xml:space="preserve">Charge-offs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b/>
              </w:rPr>
            </w:pPr>
            <w:r>
              <w:rPr>
                <w:b/>
              </w:rPr>
              <w:t>(3,865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b/>
              </w:rPr>
            </w:pPr>
            <w:r>
              <w:rPr>
                <w:b/>
              </w:rPr>
              <w:t>(8,782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b/>
              </w:rPr>
            </w:pPr>
            <w:r>
              <w:rPr>
                <w:b/>
              </w:rPr>
              <w:t>(205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(12,852</w:t>
            </w:r>
          </w:p>
        </w:tc>
        <w:tc>
          <w:tcPr>
            <w:tcW w:w="232" w:type="dxa"/>
            <w:tcBorders/>
            <w:vAlign w:val="center"/>
          </w:tcPr>
          <w:p>
            <w:pPr>
              <w:pStyle w:val="TableContents"/>
              <w:bidi w:val="0"/>
              <w:spacing w:before="0" w:after="283"/>
              <w:jc w:val="left"/>
              <w:rPr>
                <w:b/>
              </w:rPr>
            </w:pPr>
            <w:r>
              <w:rPr>
                <w:b/>
              </w:rPr>
              <w:t>) </w:t>
            </w:r>
          </w:p>
        </w:tc>
      </w:tr>
      <w:tr>
        <w:trPr/>
        <w:tc>
          <w:tcPr>
            <w:tcW w:w="4421" w:type="dxa"/>
            <w:tcBorders/>
            <w:shd w:fill="CCEEFF" w:val="clear"/>
            <w:vAlign w:val="center"/>
          </w:tcPr>
          <w:p>
            <w:pPr>
              <w:pStyle w:val="TableContents"/>
              <w:bidi w:val="0"/>
              <w:spacing w:before="0" w:after="0"/>
              <w:ind w:left="0" w:right="0" w:hanging="144"/>
              <w:jc w:val="left"/>
              <w:rPr/>
            </w:pPr>
            <w:r>
              <w:rPr/>
              <w:t xml:space="preserve">Recoveries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b/>
              </w:rPr>
            </w:pPr>
            <w:r>
              <w:rPr>
                <w:b/>
              </w:rPr>
              <w:t>304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b/>
              </w:rPr>
            </w:pPr>
            <w:r>
              <w:rPr>
                <w:b/>
              </w:rPr>
              <w:t>3,049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b/>
              </w:rPr>
            </w:pPr>
            <w:r>
              <w:rPr>
                <w:b/>
              </w:rPr>
              <w:t>286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3,639</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Provision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before="0" w:after="283"/>
              <w:jc w:val="right"/>
              <w:rPr>
                <w:b/>
              </w:rPr>
            </w:pPr>
            <w:r>
              <w:rPr>
                <w:b/>
              </w:rPr>
              <w:t>6,398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b/>
              </w:rPr>
            </w:pPr>
            <w:r>
              <w:rPr>
                <w:b/>
              </w:rPr>
              <w:t>6,957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tcMar>
              <w:bottom w:w="28" w:type="dxa"/>
            </w:tcMar>
            <w:vAlign w:val="center"/>
          </w:tcPr>
          <w:p>
            <w:pPr>
              <w:pStyle w:val="TableContents"/>
              <w:bidi w:val="0"/>
              <w:spacing w:before="0" w:after="283"/>
              <w:jc w:val="right"/>
              <w:rPr>
                <w:b/>
              </w:rPr>
            </w:pPr>
            <w:r>
              <w:rPr>
                <w:b/>
              </w:rPr>
              <w:t>(1,642</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11,713</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421"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b/>
              </w:rPr>
              <w:t>Ending balance as of June 30, 2026</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5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45"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64,562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43,807</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92"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32,131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140,500</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421" w:type="dxa"/>
            <w:tcBorders/>
            <w:vAlign w:val="center"/>
          </w:tcPr>
          <w:p>
            <w:pPr>
              <w:pStyle w:val="TableContents"/>
              <w:bidi w:val="0"/>
              <w:spacing w:before="0" w:after="0"/>
              <w:ind w:left="0" w:right="0" w:hanging="144"/>
              <w:jc w:val="left"/>
              <w:rPr/>
            </w:pPr>
            <w:r>
              <w:rPr>
                <w:b/>
              </w:rPr>
              <w:t>Balance as of December 31, 2024</w:t>
            </w:r>
            <w:r>
              <w:rPr/>
              <w:t xml:space="preserve">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w:t>
            </w:r>
          </w:p>
        </w:tc>
        <w:tc>
          <w:tcPr>
            <w:tcW w:w="1045" w:type="dxa"/>
            <w:tcBorders/>
            <w:vAlign w:val="center"/>
          </w:tcPr>
          <w:p>
            <w:pPr>
              <w:pStyle w:val="TableContents"/>
              <w:bidi w:val="0"/>
              <w:spacing w:before="0" w:after="283"/>
              <w:jc w:val="right"/>
              <w:rPr/>
            </w:pPr>
            <w:r>
              <w:rPr/>
              <w:t>45,453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43,987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w:t>
            </w:r>
          </w:p>
        </w:tc>
        <w:tc>
          <w:tcPr>
            <w:tcW w:w="992" w:type="dxa"/>
            <w:tcBorders/>
            <w:vAlign w:val="center"/>
          </w:tcPr>
          <w:p>
            <w:pPr>
              <w:pStyle w:val="TableContents"/>
              <w:bidi w:val="0"/>
              <w:spacing w:before="0" w:after="283"/>
              <w:jc w:val="right"/>
              <w:rPr/>
            </w:pPr>
            <w:r>
              <w:rPr/>
              <w:t>26,560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116,000</w:t>
            </w:r>
          </w:p>
        </w:tc>
        <w:tc>
          <w:tcPr>
            <w:tcW w:w="232" w:type="dxa"/>
            <w:tcBorders/>
            <w:vAlign w:val="center"/>
          </w:tcPr>
          <w:p>
            <w:pPr>
              <w:pStyle w:val="TableContents"/>
              <w:bidi w:val="0"/>
              <w:spacing w:before="0" w:after="283"/>
              <w:jc w:val="left"/>
              <w:rPr/>
            </w:pPr>
            <w:r>
              <w:rPr/>
              <w:t> </w:t>
            </w:r>
          </w:p>
        </w:tc>
      </w:tr>
      <w:tr>
        <w:trPr/>
        <w:tc>
          <w:tcPr>
            <w:tcW w:w="4421" w:type="dxa"/>
            <w:tcBorders/>
            <w:shd w:fill="CCEEFF" w:val="clear"/>
            <w:vAlign w:val="center"/>
          </w:tcPr>
          <w:p>
            <w:pPr>
              <w:pStyle w:val="TableContents"/>
              <w:bidi w:val="0"/>
              <w:spacing w:before="0" w:after="0"/>
              <w:ind w:left="0" w:right="0" w:hanging="144"/>
              <w:jc w:val="left"/>
              <w:rPr/>
            </w:pPr>
            <w:r>
              <w:rPr/>
              <w:t xml:space="preserve">Allowance for credit loss on PCD acquired loans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7,355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7,726</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vAlign w:val="center"/>
          </w:tcPr>
          <w:p>
            <w:pPr>
              <w:pStyle w:val="TableContents"/>
              <w:bidi w:val="0"/>
              <w:spacing w:before="0" w:after="0"/>
              <w:ind w:left="0" w:right="0" w:hanging="144"/>
              <w:jc w:val="left"/>
              <w:rPr/>
            </w:pPr>
            <w:r>
              <w:rPr/>
              <w:t xml:space="preserve">Charge-offs </w:t>
            </w:r>
          </w:p>
        </w:tc>
        <w:tc>
          <w:tcPr>
            <w:tcW w:w="90" w:type="dxa"/>
            <w:tcBorders/>
            <w:vAlign w:val="center"/>
          </w:tcPr>
          <w:p>
            <w:pPr>
              <w:pStyle w:val="TableContents"/>
              <w:bidi w:val="0"/>
              <w:spacing w:before="0" w:after="283"/>
              <w:jc w:val="right"/>
              <w:rPr/>
            </w:pPr>
            <w:r>
              <w:rPr/>
              <w:t> </w:t>
            </w:r>
          </w:p>
        </w:tc>
        <w:tc>
          <w:tcPr>
            <w:tcW w:w="2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(2,755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(9,713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(118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(12,586</w:t>
            </w:r>
          </w:p>
        </w:tc>
        <w:tc>
          <w:tcPr>
            <w:tcW w:w="232" w:type="dxa"/>
            <w:tcBorders/>
            <w:vAlign w:val="center"/>
          </w:tcPr>
          <w:p>
            <w:pPr>
              <w:pStyle w:val="TableContents"/>
              <w:bidi w:val="0"/>
              <w:spacing w:before="0" w:after="283"/>
              <w:jc w:val="left"/>
              <w:rPr/>
            </w:pPr>
            <w:r>
              <w:rPr/>
              <w:t>) </w:t>
            </w:r>
          </w:p>
        </w:tc>
      </w:tr>
      <w:tr>
        <w:trPr/>
        <w:tc>
          <w:tcPr>
            <w:tcW w:w="4421" w:type="dxa"/>
            <w:tcBorders/>
            <w:shd w:fill="CCEEFF" w:val="clear"/>
            <w:vAlign w:val="center"/>
          </w:tcPr>
          <w:p>
            <w:pPr>
              <w:pStyle w:val="TableContents"/>
              <w:bidi w:val="0"/>
              <w:spacing w:before="0" w:after="0"/>
              <w:ind w:left="0" w:right="0" w:hanging="144"/>
              <w:jc w:val="left"/>
              <w:rPr/>
            </w:pPr>
            <w:r>
              <w:rPr/>
              <w:t xml:space="preserve">Recoveries </w:t>
            </w:r>
          </w:p>
        </w:tc>
        <w:tc>
          <w:tcPr>
            <w:tcW w:w="90" w:type="dxa"/>
            <w:tcBorders/>
            <w:shd w:fill="CCEEFF" w:val="clear"/>
            <w:vAlign w:val="center"/>
          </w:tcPr>
          <w:p>
            <w:pPr>
              <w:pStyle w:val="TableContents"/>
              <w:bidi w:val="0"/>
              <w:spacing w:before="0" w:after="283"/>
              <w:jc w:val="right"/>
              <w:rPr/>
            </w:pPr>
            <w:r>
              <w:rPr/>
              <w:t> </w:t>
            </w:r>
          </w:p>
        </w:tc>
        <w:tc>
          <w:tcPr>
            <w:tcW w:w="25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516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2,972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3,671</w:t>
            </w:r>
          </w:p>
        </w:tc>
        <w:tc>
          <w:tcPr>
            <w:tcW w:w="232" w:type="dxa"/>
            <w:tcBorders/>
            <w:shd w:fill="CCEEFF" w:val="clear"/>
            <w:vAlign w:val="center"/>
          </w:tcPr>
          <w:p>
            <w:pPr>
              <w:pStyle w:val="TableContents"/>
              <w:bidi w:val="0"/>
              <w:spacing w:before="0" w:after="283"/>
              <w:jc w:val="left"/>
              <w:rPr/>
            </w:pPr>
            <w:r>
              <w:rPr/>
              <w:t> </w:t>
            </w:r>
          </w:p>
        </w:tc>
      </w:tr>
      <w:tr>
        <w:trPr/>
        <w:tc>
          <w:tcPr>
            <w:tcW w:w="4421"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Provision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tcMar>
              <w:bottom w:w="28" w:type="dxa"/>
            </w:tcMar>
            <w:vAlign w:val="center"/>
          </w:tcPr>
          <w:p>
            <w:pPr>
              <w:pStyle w:val="TableContents"/>
              <w:bidi w:val="0"/>
              <w:spacing w:before="0" w:after="283"/>
              <w:jc w:val="right"/>
              <w:rPr/>
            </w:pPr>
            <w:r>
              <w:rPr/>
              <w:t>15,452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3,623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tcMar>
              <w:bottom w:w="28" w:type="dxa"/>
            </w:tcMar>
            <w:vAlign w:val="center"/>
          </w:tcPr>
          <w:p>
            <w:pPr>
              <w:pStyle w:val="TableContents"/>
              <w:bidi w:val="0"/>
              <w:spacing w:before="0" w:after="283"/>
              <w:jc w:val="right"/>
              <w:rPr/>
            </w:pPr>
            <w:r>
              <w:rPr/>
              <w:t>6,314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25,389</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421"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b/>
              </w:rPr>
              <w:t>Ending balance as of June 30, 2025</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5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45" w:type="dxa"/>
            <w:tcBorders>
              <w:bottom w:val="double" w:sz="8" w:space="0" w:color="000000"/>
            </w:tcBorders>
            <w:shd w:fill="CCEEFF" w:val="clear"/>
            <w:tcMar>
              <w:bottom w:w="28" w:type="dxa"/>
            </w:tcMar>
            <w:vAlign w:val="center"/>
          </w:tcPr>
          <w:p>
            <w:pPr>
              <w:pStyle w:val="TableContents"/>
              <w:bidi w:val="0"/>
              <w:spacing w:before="0" w:after="283"/>
              <w:jc w:val="right"/>
              <w:rPr/>
            </w:pPr>
            <w:r>
              <w:rPr/>
              <w:t>66,021</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8" w:space="0" w:color="000000"/>
            </w:tcBorders>
            <w:shd w:fill="CCEEFF" w:val="clear"/>
            <w:tcMar>
              <w:bottom w:w="28" w:type="dxa"/>
            </w:tcMar>
            <w:vAlign w:val="center"/>
          </w:tcPr>
          <w:p>
            <w:pPr>
              <w:pStyle w:val="TableContents"/>
              <w:bidi w:val="0"/>
              <w:spacing w:before="0" w:after="283"/>
              <w:jc w:val="right"/>
              <w:rPr/>
            </w:pPr>
            <w:r>
              <w:rPr/>
              <w:t>40,869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92" w:type="dxa"/>
            <w:tcBorders>
              <w:bottom w:val="double" w:sz="8" w:space="0" w:color="000000"/>
            </w:tcBorders>
            <w:shd w:fill="CCEEFF" w:val="clear"/>
            <w:tcMar>
              <w:bottom w:w="28" w:type="dxa"/>
            </w:tcMar>
            <w:vAlign w:val="center"/>
          </w:tcPr>
          <w:p>
            <w:pPr>
              <w:pStyle w:val="TableContents"/>
              <w:bidi w:val="0"/>
              <w:spacing w:before="0" w:after="283"/>
              <w:jc w:val="right"/>
              <w:rPr/>
            </w:pPr>
            <w:r>
              <w:rPr/>
              <w:t>33,310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140,200</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as of June 30, 2026 increased compared to December 31, 2025 and June 30, 2025 primarily due to providing for current year loan growth, change in scenario weightings and the establishment of specific reserves during the first quarter of 2026 for newly identified individually evaluated loans. These increases to the allowance for credit losses were partially offset by model adjustment, accelerated prepayment speeds and changes in loan composition and balances, including reductions driven by other consumer and residential solar portfolios that are in a planned run-off status. First quarter 2026 model adjustments lowered the allowance, as updates from the annual model review and recalibration process incorporated recent delinquency and loss experience which reflected improved default estimates across most portfolio segments.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Individually Evaluated Loans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threshold for evaluating commercial loans risk graded substandard or doubtful, and nonperforming loans specifically evaluated for individual credit loss is $1.0 million. As of June 30, 2026, ten relationships were identified for individual credit loss evaluation with an amortized cost basis of $31.8 million, with $3.1 million of allowance for credit loss. As of June 30, 2026, there were $26.4 million of loans in nonaccrual status that were specifically evaluated for individual credit loss with no allowance for credit loss as the fair value of the underlying collateral supported the amortized cost. As of December 31, 2025, five relationships with an amortized cost basis of $12.2 million were identified for individual credit loss evaluation. These relationships were in nonaccrual status and with no allowance for credit loss as the fair value of the underlying collateral supported the amortized cost.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sets forth information with regard to past due and nonperforming loans by loan segment: </w:t>
      </w:r>
    </w:p>
    <w:p>
      <w:pPr>
        <w:pStyle w:val="TextBody"/>
        <w:bidi w:val="0"/>
        <w:spacing w:before="0" w:after="0"/>
        <w:jc w:val="left"/>
        <w:rPr/>
      </w:pPr>
      <w:r>
        <w:rPr/>
        <w:t xml:space="preserve">  </w:t>
      </w:r>
    </w:p>
    <w:tbl>
      <w:tblPr>
        <w:tblW w:w="10340" w:type="dxa"/>
        <w:jc w:val="left"/>
        <w:tblInd w:w="0" w:type="dxa"/>
        <w:tblLayout w:type="fixed"/>
        <w:tblCellMar>
          <w:top w:w="0" w:type="dxa"/>
          <w:left w:w="0" w:type="dxa"/>
          <w:bottom w:w="0" w:type="dxa"/>
          <w:right w:w="0" w:type="dxa"/>
        </w:tblCellMar>
      </w:tblPr>
      <w:tblGrid>
        <w:gridCol w:w="1220"/>
        <w:gridCol w:w="90"/>
        <w:gridCol w:w="192"/>
        <w:gridCol w:w="803"/>
        <w:gridCol w:w="90"/>
        <w:gridCol w:w="90"/>
        <w:gridCol w:w="192"/>
        <w:gridCol w:w="803"/>
        <w:gridCol w:w="90"/>
        <w:gridCol w:w="90"/>
        <w:gridCol w:w="222"/>
        <w:gridCol w:w="773"/>
        <w:gridCol w:w="90"/>
        <w:gridCol w:w="90"/>
        <w:gridCol w:w="192"/>
        <w:gridCol w:w="803"/>
        <w:gridCol w:w="90"/>
        <w:gridCol w:w="90"/>
        <w:gridCol w:w="238"/>
        <w:gridCol w:w="997"/>
        <w:gridCol w:w="90"/>
        <w:gridCol w:w="90"/>
        <w:gridCol w:w="170"/>
        <w:gridCol w:w="1130"/>
        <w:gridCol w:w="90"/>
        <w:gridCol w:w="90"/>
        <w:gridCol w:w="170"/>
        <w:gridCol w:w="1130"/>
        <w:gridCol w:w="135"/>
      </w:tblGrid>
      <w:tr>
        <w:trPr/>
        <w:tc>
          <w:tcPr>
            <w:tcW w:w="12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31–60 Days</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61–90 Days</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b/>
              </w:rPr>
              <w:t>Greater</w:t>
              <w:br/>
              <w:t xml:space="preserve">Than </w:t>
              <w:br/>
              <w:t xml:space="preserve">90 Days </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 xml:space="preserve">Total </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pPr>
            <w:r>
              <w:rPr>
                <w:b/>
              </w:rPr>
              <w:t>Nonaccrual</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Current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Recorded</w:t>
              <w:br/>
              <w:t xml:space="preserve">Total </w:t>
              <w:br/>
              <w:t>Loans</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220" w:type="dxa"/>
            <w:tcBorders/>
            <w:vAlign w:val="center"/>
          </w:tcPr>
          <w:p>
            <w:pPr>
              <w:pStyle w:val="TableContents"/>
              <w:bidi w:val="0"/>
              <w:spacing w:before="0" w:after="0"/>
              <w:ind w:left="0" w:right="0" w:hanging="144"/>
              <w:jc w:val="left"/>
              <w:rPr/>
            </w:pPr>
            <w:r>
              <w:rPr>
                <w:b/>
              </w:rPr>
              <w:t>As of June 30, 2026</w:t>
            </w:r>
            <w:r>
              <w:rPr/>
              <w:t xml:space="preserve">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r>
              <w:rPr/>
              <w:t xml:space="preserve">Commercial loans: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pPr>
            <w:r>
              <w:rPr/>
              <w:t xml:space="preserve">C&amp;I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1,549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676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b/>
              </w:rPr>
            </w:pPr>
            <w:r>
              <w:rPr>
                <w:b/>
              </w:rPr>
              <w:t>$</w:t>
            </w:r>
          </w:p>
        </w:tc>
        <w:tc>
          <w:tcPr>
            <w:tcW w:w="773"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2,225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b/>
              </w:rPr>
            </w:pPr>
            <w:r>
              <w:rPr>
                <w:b/>
              </w:rPr>
              <w:t>$</w:t>
            </w:r>
          </w:p>
        </w:tc>
        <w:tc>
          <w:tcPr>
            <w:tcW w:w="997" w:type="dxa"/>
            <w:tcBorders/>
            <w:shd w:fill="CCEEFF" w:val="clear"/>
            <w:vAlign w:val="center"/>
          </w:tcPr>
          <w:p>
            <w:pPr>
              <w:pStyle w:val="TableContents"/>
              <w:bidi w:val="0"/>
              <w:spacing w:before="0" w:after="283"/>
              <w:jc w:val="right"/>
              <w:rPr>
                <w:b/>
              </w:rPr>
            </w:pPr>
            <w:r>
              <w:rPr>
                <w:b/>
              </w:rPr>
              <w:t>10,051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1,719,036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1,731,312</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0"/>
              <w:jc w:val="left"/>
              <w:rPr/>
            </w:pPr>
            <w:r>
              <w:rPr/>
              <w:t xml:space="preserve">CRE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tcMar>
              <w:bottom w:w="28" w:type="dxa"/>
            </w:tcMar>
            <w:vAlign w:val="center"/>
          </w:tcPr>
          <w:p>
            <w:pPr>
              <w:pStyle w:val="TableContents"/>
              <w:bidi w:val="0"/>
              <w:spacing w:before="0" w:after="283"/>
              <w:jc w:val="right"/>
              <w:rPr>
                <w:b/>
              </w:rPr>
            </w:pPr>
            <w:r>
              <w:rPr>
                <w:b/>
              </w:rPr>
              <w:t>26,266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tcMar>
              <w:bottom w:w="28" w:type="dxa"/>
            </w:tcMar>
            <w:vAlign w:val="center"/>
          </w:tcPr>
          <w:p>
            <w:pPr>
              <w:pStyle w:val="TableContents"/>
              <w:bidi w:val="0"/>
              <w:spacing w:before="0" w:after="283"/>
              <w:jc w:val="right"/>
              <w:rPr>
                <w:b/>
              </w:rPr>
            </w:pPr>
            <w:r>
              <w:rPr>
                <w:b/>
              </w:rPr>
              <w:t>12,398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tcMar>
              <w:bottom w:w="28" w:type="dxa"/>
            </w:tcMar>
            <w:vAlign w:val="center"/>
          </w:tcPr>
          <w:p>
            <w:pPr>
              <w:pStyle w:val="TableContents"/>
              <w:bidi w:val="0"/>
              <w:spacing w:before="0" w:after="283"/>
              <w:jc w:val="right"/>
              <w:rPr>
                <w:b/>
              </w:rPr>
            </w:pPr>
            <w:r>
              <w:rPr>
                <w:b/>
              </w:rPr>
              <w:t>38,664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tcMar>
              <w:bottom w:w="28" w:type="dxa"/>
            </w:tcMar>
            <w:vAlign w:val="center"/>
          </w:tcPr>
          <w:p>
            <w:pPr>
              <w:pStyle w:val="TableContents"/>
              <w:bidi w:val="0"/>
              <w:spacing w:before="0" w:after="283"/>
              <w:jc w:val="right"/>
              <w:rPr>
                <w:b/>
              </w:rPr>
            </w:pPr>
            <w:r>
              <w:rPr>
                <w:b/>
              </w:rPr>
              <w:t>30,508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4,642,122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4,711,294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commercial loans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27,815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13,074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40,889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40,559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6,361,158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6,442,606</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r>
              <w:rPr/>
              <w:t xml:space="preserve">Consumer loans: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pPr>
            <w:r>
              <w:rPr/>
              <w:t xml:space="preserve">Auto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12,082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2,183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b/>
              </w:rPr>
            </w:pPr>
            <w:r>
              <w:rPr>
                <w:b/>
              </w:rPr>
              <w:t>$</w:t>
            </w:r>
          </w:p>
        </w:tc>
        <w:tc>
          <w:tcPr>
            <w:tcW w:w="773" w:type="dxa"/>
            <w:tcBorders/>
            <w:shd w:fill="CCEEFF" w:val="clear"/>
            <w:vAlign w:val="center"/>
          </w:tcPr>
          <w:p>
            <w:pPr>
              <w:pStyle w:val="TableContents"/>
              <w:bidi w:val="0"/>
              <w:spacing w:before="0" w:after="283"/>
              <w:jc w:val="right"/>
              <w:rPr>
                <w:b/>
              </w:rPr>
            </w:pPr>
            <w:r>
              <w:rPr>
                <w:b/>
              </w:rPr>
              <w:t>590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14,855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b/>
              </w:rPr>
            </w:pPr>
            <w:r>
              <w:rPr>
                <w:b/>
              </w:rPr>
              <w:t>$</w:t>
            </w:r>
          </w:p>
        </w:tc>
        <w:tc>
          <w:tcPr>
            <w:tcW w:w="997" w:type="dxa"/>
            <w:tcBorders/>
            <w:shd w:fill="CCEEFF" w:val="clear"/>
            <w:vAlign w:val="center"/>
          </w:tcPr>
          <w:p>
            <w:pPr>
              <w:pStyle w:val="TableContents"/>
              <w:bidi w:val="0"/>
              <w:spacing w:before="0" w:after="283"/>
              <w:jc w:val="right"/>
              <w:rPr>
                <w:b/>
              </w:rPr>
            </w:pPr>
            <w:r>
              <w:rPr>
                <w:b/>
              </w:rPr>
              <w:t>2,677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1,412,524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1,430,056</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r>
              <w:rPr/>
              <w:t xml:space="preserve">Residential solar </w:t>
            </w:r>
          </w:p>
        </w:tc>
        <w:tc>
          <w:tcPr>
            <w:tcW w:w="9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b/>
              </w:rPr>
            </w:pPr>
            <w:r>
              <w:rPr>
                <w:b/>
              </w:rPr>
              <w:t>3,525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b/>
              </w:rPr>
            </w:pPr>
            <w:r>
              <w:rPr>
                <w:b/>
              </w:rPr>
              <w:t>1,763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b/>
              </w:rPr>
            </w:pPr>
            <w:r>
              <w:rPr>
                <w:b/>
              </w:rPr>
              <w:t>934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b/>
              </w:rPr>
            </w:pPr>
            <w:r>
              <w:rPr>
                <w:b/>
              </w:rPr>
              <w:t>6,222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b/>
              </w:rPr>
            </w:pPr>
            <w:r>
              <w:rPr>
                <w:b/>
              </w:rPr>
              <w:t>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686,900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693,177</w:t>
            </w:r>
          </w:p>
        </w:tc>
        <w:tc>
          <w:tcPr>
            <w:tcW w:w="13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Other consumer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75,096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76,684</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consumer loans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tcMar>
              <w:bottom w:w="28" w:type="dxa"/>
            </w:tcMar>
            <w:vAlign w:val="center"/>
          </w:tcPr>
          <w:p>
            <w:pPr>
              <w:pStyle w:val="TableContents"/>
              <w:bidi w:val="0"/>
              <w:spacing w:before="0" w:after="283"/>
              <w:jc w:val="right"/>
              <w:rPr>
                <w:b/>
              </w:rPr>
            </w:pPr>
            <w:r>
              <w:rPr>
                <w:b/>
              </w:rPr>
              <w:t>16,408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tcMar>
              <w:bottom w:w="28" w:type="dxa"/>
            </w:tcMar>
            <w:vAlign w:val="center"/>
          </w:tcPr>
          <w:p>
            <w:pPr>
              <w:pStyle w:val="TableContents"/>
              <w:bidi w:val="0"/>
              <w:spacing w:before="0" w:after="283"/>
              <w:jc w:val="right"/>
              <w:rPr>
                <w:b/>
              </w:rPr>
            </w:pPr>
            <w:r>
              <w:rPr>
                <w:b/>
              </w:rPr>
              <w:t>4,411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73" w:type="dxa"/>
            <w:tcBorders>
              <w:bottom w:val="single" w:sz="12" w:space="0" w:color="000000"/>
            </w:tcBorders>
            <w:tcMar>
              <w:bottom w:w="28" w:type="dxa"/>
            </w:tcMar>
            <w:vAlign w:val="center"/>
          </w:tcPr>
          <w:p>
            <w:pPr>
              <w:pStyle w:val="TableContents"/>
              <w:bidi w:val="0"/>
              <w:spacing w:before="0" w:after="283"/>
              <w:jc w:val="right"/>
              <w:rPr>
                <w:b/>
              </w:rPr>
            </w:pPr>
            <w:r>
              <w:rPr>
                <w:b/>
              </w:rPr>
              <w:t>1,729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tcMar>
              <w:bottom w:w="28" w:type="dxa"/>
            </w:tcMar>
            <w:vAlign w:val="center"/>
          </w:tcPr>
          <w:p>
            <w:pPr>
              <w:pStyle w:val="TableContents"/>
              <w:bidi w:val="0"/>
              <w:spacing w:before="0" w:after="283"/>
              <w:jc w:val="right"/>
              <w:rPr>
                <w:b/>
              </w:rPr>
            </w:pPr>
            <w:r>
              <w:rPr>
                <w:b/>
              </w:rPr>
              <w:t>22,548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97" w:type="dxa"/>
            <w:tcBorders>
              <w:bottom w:val="single" w:sz="12" w:space="0" w:color="000000"/>
            </w:tcBorders>
            <w:tcMar>
              <w:bottom w:w="28" w:type="dxa"/>
            </w:tcMar>
            <w:vAlign w:val="center"/>
          </w:tcPr>
          <w:p>
            <w:pPr>
              <w:pStyle w:val="TableContents"/>
              <w:bidi w:val="0"/>
              <w:spacing w:before="0" w:after="283"/>
              <w:jc w:val="right"/>
              <w:rPr>
                <w:b/>
              </w:rPr>
            </w:pPr>
            <w:r>
              <w:rPr>
                <w:b/>
              </w:rPr>
              <w:t>2,849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2,174,520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2,199,917</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Residential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8,392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2,390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681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11,463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19,490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3,200,605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3,231,558</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loans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92"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03" w:type="dxa"/>
            <w:tcBorders>
              <w:bottom w:val="double" w:sz="8" w:space="0" w:color="000000"/>
            </w:tcBorders>
            <w:tcMar>
              <w:bottom w:w="28" w:type="dxa"/>
            </w:tcMar>
            <w:vAlign w:val="center"/>
          </w:tcPr>
          <w:p>
            <w:pPr>
              <w:pStyle w:val="TableContents"/>
              <w:bidi w:val="0"/>
              <w:spacing w:before="0" w:after="283"/>
              <w:jc w:val="right"/>
              <w:rPr>
                <w:b/>
              </w:rPr>
            </w:pPr>
            <w:r>
              <w:rPr>
                <w:b/>
              </w:rPr>
              <w:t>52,615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92"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03" w:type="dxa"/>
            <w:tcBorders>
              <w:bottom w:val="double" w:sz="8" w:space="0" w:color="000000"/>
            </w:tcBorders>
            <w:tcMar>
              <w:bottom w:w="28" w:type="dxa"/>
            </w:tcMar>
            <w:vAlign w:val="center"/>
          </w:tcPr>
          <w:p>
            <w:pPr>
              <w:pStyle w:val="TableContents"/>
              <w:bidi w:val="0"/>
              <w:spacing w:before="0" w:after="283"/>
              <w:jc w:val="right"/>
              <w:rPr>
                <w:b/>
              </w:rPr>
            </w:pPr>
            <w:r>
              <w:rPr>
                <w:b/>
              </w:rPr>
              <w:t>19,875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22"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773" w:type="dxa"/>
            <w:tcBorders>
              <w:bottom w:val="double" w:sz="8" w:space="0" w:color="000000"/>
            </w:tcBorders>
            <w:tcMar>
              <w:bottom w:w="28" w:type="dxa"/>
            </w:tcMar>
            <w:vAlign w:val="center"/>
          </w:tcPr>
          <w:p>
            <w:pPr>
              <w:pStyle w:val="TableContents"/>
              <w:bidi w:val="0"/>
              <w:spacing w:before="0" w:after="283"/>
              <w:jc w:val="right"/>
              <w:rPr>
                <w:b/>
              </w:rPr>
            </w:pPr>
            <w:r>
              <w:rPr>
                <w:b/>
              </w:rPr>
              <w:t>2,410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92"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03" w:type="dxa"/>
            <w:tcBorders>
              <w:bottom w:val="double" w:sz="8" w:space="0" w:color="000000"/>
            </w:tcBorders>
            <w:tcMar>
              <w:bottom w:w="28" w:type="dxa"/>
            </w:tcMar>
            <w:vAlign w:val="center"/>
          </w:tcPr>
          <w:p>
            <w:pPr>
              <w:pStyle w:val="TableContents"/>
              <w:bidi w:val="0"/>
              <w:spacing w:before="0" w:after="283"/>
              <w:jc w:val="right"/>
              <w:rPr>
                <w:b/>
              </w:rPr>
            </w:pPr>
            <w:r>
              <w:rPr>
                <w:b/>
              </w:rPr>
              <w:t>74,900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38"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97" w:type="dxa"/>
            <w:tcBorders>
              <w:bottom w:val="double" w:sz="8" w:space="0" w:color="000000"/>
            </w:tcBorders>
            <w:tcMar>
              <w:bottom w:w="28" w:type="dxa"/>
            </w:tcMar>
            <w:vAlign w:val="center"/>
          </w:tcPr>
          <w:p>
            <w:pPr>
              <w:pStyle w:val="TableContents"/>
              <w:bidi w:val="0"/>
              <w:spacing w:before="0" w:after="283"/>
              <w:jc w:val="right"/>
              <w:rPr>
                <w:b/>
              </w:rPr>
            </w:pPr>
            <w:r>
              <w:rPr>
                <w:b/>
              </w:rPr>
              <w:t>62,898</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11,736,283</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11,874,081</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0340" w:type="dxa"/>
        <w:jc w:val="left"/>
        <w:tblInd w:w="0" w:type="dxa"/>
        <w:tblLayout w:type="fixed"/>
        <w:tblCellMar>
          <w:top w:w="0" w:type="dxa"/>
          <w:left w:w="0" w:type="dxa"/>
          <w:bottom w:w="0" w:type="dxa"/>
          <w:right w:w="0" w:type="dxa"/>
        </w:tblCellMar>
      </w:tblPr>
      <w:tblGrid>
        <w:gridCol w:w="1220"/>
        <w:gridCol w:w="90"/>
        <w:gridCol w:w="192"/>
        <w:gridCol w:w="803"/>
        <w:gridCol w:w="90"/>
        <w:gridCol w:w="90"/>
        <w:gridCol w:w="222"/>
        <w:gridCol w:w="773"/>
        <w:gridCol w:w="90"/>
        <w:gridCol w:w="90"/>
        <w:gridCol w:w="222"/>
        <w:gridCol w:w="773"/>
        <w:gridCol w:w="90"/>
        <w:gridCol w:w="90"/>
        <w:gridCol w:w="192"/>
        <w:gridCol w:w="803"/>
        <w:gridCol w:w="90"/>
        <w:gridCol w:w="90"/>
        <w:gridCol w:w="238"/>
        <w:gridCol w:w="997"/>
        <w:gridCol w:w="90"/>
        <w:gridCol w:w="90"/>
        <w:gridCol w:w="170"/>
        <w:gridCol w:w="1130"/>
        <w:gridCol w:w="90"/>
        <w:gridCol w:w="90"/>
        <w:gridCol w:w="170"/>
        <w:gridCol w:w="1130"/>
        <w:gridCol w:w="135"/>
      </w:tblGrid>
      <w:tr>
        <w:trPr/>
        <w:tc>
          <w:tcPr>
            <w:tcW w:w="12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b/>
              </w:rPr>
              <w:t>31–60 Days</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b/>
              </w:rPr>
              <w:t>61–90 Days</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b/>
              </w:rPr>
              <w:t>Greater</w:t>
              <w:br/>
              <w:t xml:space="preserve">Than </w:t>
              <w:br/>
              <w:t xml:space="preserve">90 Days </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Total </w:t>
              <w:br/>
              <w:t>Past Due</w:t>
              <w:br/>
              <w:t>Accruing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pPr>
            <w:r>
              <w:rPr>
                <w:b/>
              </w:rPr>
              <w:t>Nonaccrual</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Current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Recorded</w:t>
              <w:br/>
              <w:t xml:space="preserve">Total </w:t>
              <w:br/>
              <w:t>Loans</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220" w:type="dxa"/>
            <w:tcBorders/>
            <w:vAlign w:val="center"/>
          </w:tcPr>
          <w:p>
            <w:pPr>
              <w:pStyle w:val="TableContents"/>
              <w:bidi w:val="0"/>
              <w:spacing w:before="0" w:after="0"/>
              <w:ind w:left="0" w:right="0" w:hanging="144"/>
              <w:jc w:val="left"/>
              <w:rPr/>
            </w:pPr>
            <w:r>
              <w:rPr>
                <w:b/>
              </w:rPr>
              <w:t>As of December 31, 2025</w:t>
            </w:r>
            <w:r>
              <w:rPr/>
              <w:t xml:space="preserve">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r>
              <w:rPr/>
              <w:t xml:space="preserve">Commercial loans: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pPr>
            <w:r>
              <w:rPr/>
              <w:t xml:space="preserve">C&amp;I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761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990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1,947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1,645,794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1,648,731</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0"/>
              <w:jc w:val="left"/>
              <w:rPr/>
            </w:pPr>
            <w:r>
              <w:rPr/>
              <w:t xml:space="preserve">CRE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tcMar>
              <w:bottom w:w="28" w:type="dxa"/>
            </w:tcMar>
            <w:vAlign w:val="center"/>
          </w:tcPr>
          <w:p>
            <w:pPr>
              <w:pStyle w:val="TableContents"/>
              <w:bidi w:val="0"/>
              <w:spacing w:before="0" w:after="283"/>
              <w:jc w:val="right"/>
              <w:rPr/>
            </w:pPr>
            <w:r>
              <w:rPr/>
              <w:t>1,802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5,112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2,117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tcMar>
              <w:bottom w:w="28" w:type="dxa"/>
            </w:tcMar>
            <w:vAlign w:val="center"/>
          </w:tcPr>
          <w:p>
            <w:pPr>
              <w:pStyle w:val="TableContents"/>
              <w:bidi w:val="0"/>
              <w:spacing w:before="0" w:after="283"/>
              <w:jc w:val="right"/>
              <w:rPr/>
            </w:pPr>
            <w:r>
              <w:rPr/>
              <w:t>9,031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tcMar>
              <w:bottom w:w="28" w:type="dxa"/>
            </w:tcMar>
            <w:vAlign w:val="center"/>
          </w:tcPr>
          <w:p>
            <w:pPr>
              <w:pStyle w:val="TableContents"/>
              <w:bidi w:val="0"/>
              <w:spacing w:before="0" w:after="283"/>
              <w:jc w:val="right"/>
              <w:rPr/>
            </w:pPr>
            <w:r>
              <w:rPr/>
              <w:t>17,987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4,592,983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4,620,001</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commercial loans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2,563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5,238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2,220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10,021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19,934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6,238,777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6,268,732</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r>
              <w:rPr/>
              <w:t xml:space="preserve">Consumer loans: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pPr>
            <w:r>
              <w:rPr/>
              <w:t xml:space="preserve">Auto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12,884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15,955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2,940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1,298,470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1,317,365</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pPr>
            <w:r>
              <w:rPr/>
              <w:t xml:space="preserve">Residential solar </w:t>
            </w:r>
          </w:p>
        </w:tc>
        <w:tc>
          <w:tcPr>
            <w:tcW w:w="9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4,846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1,396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1,241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7,483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729,397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736,970</w:t>
            </w:r>
          </w:p>
        </w:tc>
        <w:tc>
          <w:tcPr>
            <w:tcW w:w="13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Other consumer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1,200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467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339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2,006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63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80,824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82,893</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consumer loans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tcMar>
              <w:bottom w:w="28" w:type="dxa"/>
            </w:tcMar>
            <w:vAlign w:val="center"/>
          </w:tcPr>
          <w:p>
            <w:pPr>
              <w:pStyle w:val="TableContents"/>
              <w:bidi w:val="0"/>
              <w:spacing w:before="0" w:after="283"/>
              <w:jc w:val="right"/>
              <w:rPr/>
            </w:pPr>
            <w:r>
              <w:rPr/>
              <w:t>18,930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3,969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w:t>
            </w:r>
          </w:p>
        </w:tc>
        <w:tc>
          <w:tcPr>
            <w:tcW w:w="773" w:type="dxa"/>
            <w:tcBorders>
              <w:bottom w:val="single" w:sz="12" w:space="0" w:color="000000"/>
            </w:tcBorders>
            <w:tcMar>
              <w:bottom w:w="28" w:type="dxa"/>
            </w:tcMar>
            <w:vAlign w:val="center"/>
          </w:tcPr>
          <w:p>
            <w:pPr>
              <w:pStyle w:val="TableContents"/>
              <w:bidi w:val="0"/>
              <w:spacing w:before="0" w:after="283"/>
              <w:jc w:val="right"/>
              <w:rPr/>
            </w:pPr>
            <w:r>
              <w:rPr/>
              <w:t>2,545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tcMar>
              <w:bottom w:w="28" w:type="dxa"/>
            </w:tcMar>
            <w:vAlign w:val="center"/>
          </w:tcPr>
          <w:p>
            <w:pPr>
              <w:pStyle w:val="TableContents"/>
              <w:bidi w:val="0"/>
              <w:spacing w:before="0" w:after="283"/>
              <w:jc w:val="right"/>
              <w:rPr/>
            </w:pPr>
            <w:r>
              <w:rPr/>
              <w:t>25,444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w:t>
            </w:r>
          </w:p>
        </w:tc>
        <w:tc>
          <w:tcPr>
            <w:tcW w:w="997" w:type="dxa"/>
            <w:tcBorders>
              <w:bottom w:val="single" w:sz="12" w:space="0" w:color="000000"/>
            </w:tcBorders>
            <w:tcMar>
              <w:bottom w:w="28" w:type="dxa"/>
            </w:tcMar>
            <w:vAlign w:val="center"/>
          </w:tcPr>
          <w:p>
            <w:pPr>
              <w:pStyle w:val="TableContents"/>
              <w:bidi w:val="0"/>
              <w:spacing w:before="0" w:after="283"/>
              <w:jc w:val="right"/>
              <w:rPr/>
            </w:pPr>
            <w:r>
              <w:rPr/>
              <w:t>3,093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2,108,691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2,137,228</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2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Residential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5,203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666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2,366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8,235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21,565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3,162,354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3,192,154</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loans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92" w:type="dxa"/>
            <w:tcBorders>
              <w:bottom w:val="double" w:sz="8" w:space="0" w:color="000000"/>
            </w:tcBorders>
            <w:tcMar>
              <w:bottom w:w="28" w:type="dxa"/>
            </w:tcMar>
            <w:vAlign w:val="center"/>
          </w:tcPr>
          <w:p>
            <w:pPr>
              <w:pStyle w:val="TableContents"/>
              <w:bidi w:val="0"/>
              <w:spacing w:before="0" w:after="283"/>
              <w:jc w:val="left"/>
              <w:rPr/>
            </w:pPr>
            <w:r>
              <w:rPr/>
              <w:t>$</w:t>
            </w:r>
          </w:p>
        </w:tc>
        <w:tc>
          <w:tcPr>
            <w:tcW w:w="803" w:type="dxa"/>
            <w:tcBorders>
              <w:bottom w:val="double" w:sz="8" w:space="0" w:color="000000"/>
            </w:tcBorders>
            <w:tcMar>
              <w:bottom w:w="28" w:type="dxa"/>
            </w:tcMar>
            <w:vAlign w:val="center"/>
          </w:tcPr>
          <w:p>
            <w:pPr>
              <w:pStyle w:val="TableContents"/>
              <w:bidi w:val="0"/>
              <w:spacing w:before="0" w:after="283"/>
              <w:jc w:val="right"/>
              <w:rPr/>
            </w:pPr>
            <w:r>
              <w:rPr/>
              <w:t>26,696</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22" w:type="dxa"/>
            <w:tcBorders>
              <w:bottom w:val="double" w:sz="8" w:space="0" w:color="000000"/>
            </w:tcBorders>
            <w:tcMar>
              <w:bottom w:w="28" w:type="dxa"/>
            </w:tcMar>
            <w:vAlign w:val="center"/>
          </w:tcPr>
          <w:p>
            <w:pPr>
              <w:pStyle w:val="TableContents"/>
              <w:bidi w:val="0"/>
              <w:spacing w:before="0" w:after="283"/>
              <w:jc w:val="left"/>
              <w:rPr/>
            </w:pPr>
            <w:r>
              <w:rPr/>
              <w:t>$</w:t>
            </w:r>
          </w:p>
        </w:tc>
        <w:tc>
          <w:tcPr>
            <w:tcW w:w="773" w:type="dxa"/>
            <w:tcBorders>
              <w:bottom w:val="double" w:sz="8" w:space="0" w:color="000000"/>
            </w:tcBorders>
            <w:tcMar>
              <w:bottom w:w="28" w:type="dxa"/>
            </w:tcMar>
            <w:vAlign w:val="center"/>
          </w:tcPr>
          <w:p>
            <w:pPr>
              <w:pStyle w:val="TableContents"/>
              <w:bidi w:val="0"/>
              <w:spacing w:before="0" w:after="283"/>
              <w:jc w:val="right"/>
              <w:rPr/>
            </w:pPr>
            <w:r>
              <w:rPr/>
              <w:t>9,873</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22" w:type="dxa"/>
            <w:tcBorders>
              <w:bottom w:val="double" w:sz="8" w:space="0" w:color="000000"/>
            </w:tcBorders>
            <w:tcMar>
              <w:bottom w:w="28" w:type="dxa"/>
            </w:tcMar>
            <w:vAlign w:val="center"/>
          </w:tcPr>
          <w:p>
            <w:pPr>
              <w:pStyle w:val="TableContents"/>
              <w:bidi w:val="0"/>
              <w:spacing w:before="0" w:after="283"/>
              <w:jc w:val="left"/>
              <w:rPr/>
            </w:pPr>
            <w:r>
              <w:rPr/>
              <w:t>$</w:t>
            </w:r>
          </w:p>
        </w:tc>
        <w:tc>
          <w:tcPr>
            <w:tcW w:w="773" w:type="dxa"/>
            <w:tcBorders>
              <w:bottom w:val="double" w:sz="8" w:space="0" w:color="000000"/>
            </w:tcBorders>
            <w:tcMar>
              <w:bottom w:w="28" w:type="dxa"/>
            </w:tcMar>
            <w:vAlign w:val="center"/>
          </w:tcPr>
          <w:p>
            <w:pPr>
              <w:pStyle w:val="TableContents"/>
              <w:bidi w:val="0"/>
              <w:spacing w:before="0" w:after="283"/>
              <w:jc w:val="right"/>
              <w:rPr/>
            </w:pPr>
            <w:r>
              <w:rPr/>
              <w:t>7,131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92" w:type="dxa"/>
            <w:tcBorders>
              <w:bottom w:val="double" w:sz="8" w:space="0" w:color="000000"/>
            </w:tcBorders>
            <w:tcMar>
              <w:bottom w:w="28" w:type="dxa"/>
            </w:tcMar>
            <w:vAlign w:val="center"/>
          </w:tcPr>
          <w:p>
            <w:pPr>
              <w:pStyle w:val="TableContents"/>
              <w:bidi w:val="0"/>
              <w:spacing w:before="0" w:after="283"/>
              <w:jc w:val="left"/>
              <w:rPr/>
            </w:pPr>
            <w:r>
              <w:rPr/>
              <w:t>$</w:t>
            </w:r>
          </w:p>
        </w:tc>
        <w:tc>
          <w:tcPr>
            <w:tcW w:w="803" w:type="dxa"/>
            <w:tcBorders>
              <w:bottom w:val="double" w:sz="8" w:space="0" w:color="000000"/>
            </w:tcBorders>
            <w:tcMar>
              <w:bottom w:w="28" w:type="dxa"/>
            </w:tcMar>
            <w:vAlign w:val="center"/>
          </w:tcPr>
          <w:p>
            <w:pPr>
              <w:pStyle w:val="TableContents"/>
              <w:bidi w:val="0"/>
              <w:spacing w:before="0" w:after="283"/>
              <w:jc w:val="right"/>
              <w:rPr/>
            </w:pPr>
            <w:r>
              <w:rPr/>
              <w:t>43,700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38" w:type="dxa"/>
            <w:tcBorders>
              <w:bottom w:val="double" w:sz="8" w:space="0" w:color="000000"/>
            </w:tcBorders>
            <w:tcMar>
              <w:bottom w:w="28" w:type="dxa"/>
            </w:tcMar>
            <w:vAlign w:val="center"/>
          </w:tcPr>
          <w:p>
            <w:pPr>
              <w:pStyle w:val="TableContents"/>
              <w:bidi w:val="0"/>
              <w:spacing w:before="0" w:after="283"/>
              <w:jc w:val="left"/>
              <w:rPr/>
            </w:pPr>
            <w:r>
              <w:rPr/>
              <w:t>$</w:t>
            </w:r>
          </w:p>
        </w:tc>
        <w:tc>
          <w:tcPr>
            <w:tcW w:w="997" w:type="dxa"/>
            <w:tcBorders>
              <w:bottom w:val="double" w:sz="8" w:space="0" w:color="000000"/>
            </w:tcBorders>
            <w:tcMar>
              <w:bottom w:w="28" w:type="dxa"/>
            </w:tcMar>
            <w:vAlign w:val="center"/>
          </w:tcPr>
          <w:p>
            <w:pPr>
              <w:pStyle w:val="TableContents"/>
              <w:bidi w:val="0"/>
              <w:spacing w:before="0" w:after="283"/>
              <w:jc w:val="right"/>
              <w:rPr/>
            </w:pPr>
            <w:r>
              <w:rPr/>
              <w:t>44,592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11,509,822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11,598,114</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Credit Quality Indicators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has developed an internal loan grading system to evaluate and quantify the Company’s loan portfolio with respect to quality and risk, focusing on, among other things, borrower’s financial strength, experience and depth of borrower’s management, primary and secondary sources of repayment, payment history, nature of the business and industry outlook. The internal grading system enables the Company to monitor the quality of the entire loan portfolio on a consistent basis and provide management with an early warning system, which facilitates recognition of and response to problem loans and potential problem loans.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Commercial Grading System</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Commercial &amp; Industrial (“C&amp;I”) and Commercial Real Estate (“CRE”) loans, the Company uses a grading system that relies on quantifiable and measurable characteristics when available. This includes comparison of financial strength to available industry averages, comparison of transaction factors (loan terms and conditions) to loan policy and comparison of credit history to stated repayment terms and industry averages. Some grading factors are necessarily more subjective such as economic and industry factors, regulatory environment and management. C&amp;I and CRE loans are graded Doubtful, Substandard, Special Mention and Pass.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Doubtful </w:t>
      </w:r>
      <w:r>
        <w:rPr>
          <w:rFonts w:ascii="TimesNewRoman;Times New Roman;Times;Baskerville;Georgia;serif" w:hAnsi="TimesNewRoman;Times New Roman;Times;Baskerville;Georgia;serif"/>
          <w:sz w:val="20"/>
        </w:rPr>
        <w:t xml:space="preserve">- A Doubtful loan has a high probability of total or substantial loss, but because of specific pending events that may strengthen the asset, its classification as a loss is deferred. Doubtful borrowers are usually in default, lack adequate liquidity or capital and lack the resources necessary to remain an operating entity. Pending events can include mergers, acquisitions, liquidations, capital injections, the perfection of liens on additional collateral, the valuation of collateral and refinancing. Generally, pending events should be resolved within a relatively short period and the ratings will be adjusted based on the new information. Nonaccrual treatment is required for Doubtful assets because of the high probability of loss. </w:t>
      </w:r>
    </w:p>
    <w:p>
      <w:pPr>
        <w:pStyle w:val="TextBody"/>
        <w:bidi w:val="0"/>
        <w:spacing w:before="0" w:after="0"/>
        <w:jc w:val="left"/>
        <w:rPr/>
      </w:pPr>
      <w:r>
        <w:rPr/>
        <w:t>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pacing w:val="0"/>
          <w:sz w:val="20"/>
        </w:rPr>
        <w:t>Substandard </w:t>
      </w:r>
      <w:r>
        <w:rPr>
          <w:rFonts w:ascii="TimesNewRoman;Times New Roman;Times;Baskerville;Georgia;serif" w:hAnsi="TimesNewRoman;Times New Roman;Times;Baskerville;Georgia;serif"/>
          <w:spacing w:val="0"/>
          <w:sz w:val="20"/>
        </w:rPr>
        <w:t>- Substandard loans have a high probability of payment default or they have other well-defined weaknesses. They require more intensive supervision by bank management. Substandard loans are generally characterized by current or expected unprofitable operations, inadequate debt service coverage, inadequate liquidity or marginal capitalization. Repayment may depend on collateral or other credit risk mitigants. For some Substandard loans, the likelihood of full collection of interest and principal may be in doubt and those loans should be placed on nonaccrual. Although Substandard assets in the aggregate will have a distinct potential for loss, an individual asset’s loss potential does not have to be distinct for the asset to be rated Substandard.</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Special Mention</w:t>
      </w:r>
      <w:r>
        <w:rPr>
          <w:rFonts w:ascii="TimesNewRoman;Times New Roman;Times;Baskerville;Georgia;serif" w:hAnsi="TimesNewRoman;Times New Roman;Times;Baskerville;Georgia;serif"/>
          <w:sz w:val="20"/>
        </w:rPr>
        <w:t xml:space="preserve"> - Special Mention loans have potential weaknesses that may, if not checked or corrected, weaken the asset or inadequately protect the Company’s position at some future date. These loans pose elevated risk, but their weakness does not yet justify a Substandard classification. Borrowers may be experiencing adverse operating trends (i.e., declining revenues or margins) or may be struggling with an ill-proportioned balance sheet (i.e., increasing inventory without an increase in sales, high leverage and/or tight liquidity). Adverse economic or market conditions, such as interest rate increases or the entry of a new competitor, may also support a Special Mention rating. Although a Special Mention loan has a higher PD than a Pass asset, its default is not imminent.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Pass</w:t>
      </w:r>
      <w:r>
        <w:rPr>
          <w:rFonts w:ascii="TimesNewRoman;Times New Roman;Times;Baskerville;Georgia;serif" w:hAnsi="TimesNewRoman;Times New Roman;Times;Baskerville;Georgia;serif"/>
          <w:sz w:val="20"/>
        </w:rPr>
        <w:t xml:space="preserve"> - Loans graded as Pass encompass all loans not graded as Doubtful, Substandard or Special Mention. Pass loans are in compliance with loan covenants and payments are generally made as agreed. Pass loans range from superior quality to fair quality. Pass loans also include any portion of a government guaranteed loan.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Consumer and Residential Grading System</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Consumer and Residential loans are graded as either Nonperforming or Performing.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Nonperforming </w:t>
      </w:r>
      <w:r>
        <w:rPr>
          <w:rFonts w:ascii="TimesNewRoman;Times New Roman;Times;Baskerville;Georgia;serif" w:hAnsi="TimesNewRoman;Times New Roman;Times;Baskerville;Georgia;serif"/>
          <w:sz w:val="20"/>
        </w:rPr>
        <w:t xml:space="preserve">- Nonperforming loans are loans that are (1) over 90 days past due and interest is still accruing or (2) on nonaccrual status. </w:t>
      </w:r>
    </w:p>
    <w:p>
      <w:pPr>
        <w:pStyle w:val="TextBody"/>
        <w:bidi w:val="0"/>
        <w:spacing w:before="0" w:after="0"/>
        <w:ind w:left="720" w:right="0" w:hanging="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Performing </w:t>
      </w:r>
      <w:r>
        <w:rPr>
          <w:rFonts w:ascii="TimesNewRoman;Times New Roman;Times;Baskerville;Georgia;serif" w:hAnsi="TimesNewRoman;Times New Roman;Times;Baskerville;Georgia;serif"/>
          <w:sz w:val="20"/>
        </w:rPr>
        <w:t xml:space="preserve">- All loans not meeting any of the above criteria are considered Performing.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illustrate the Company’s credit quality by loan class by vintage and includes gross charge-offs by loan class by vintage. Included in other consumer gross charge-offs for the six months ended June 30, 2026, the Company recorded $0.4 million in overdrawn deposit accounts reported as 2025 originations and $0.3 million in overdrawn deposit accounts reported as 2026 originations. Included in other consumer gross charge-offs for the year ended December 31, 2025, the Company recorded $0.3 million in overdrawn deposit accounts reported as 2024 originations and $0.8 million in overdrawn deposit accounts reported as 2025 originations. </w:t>
      </w:r>
    </w:p>
    <w:p>
      <w:pPr>
        <w:pStyle w:val="TextBody"/>
        <w:bidi w:val="0"/>
        <w:spacing w:before="0" w:after="0"/>
        <w:jc w:val="both"/>
        <w:rPr/>
      </w:pPr>
      <w:r>
        <w:rPr/>
        <w:t xml:space="preserve">  </w:t>
      </w:r>
    </w:p>
    <w:tbl>
      <w:tblPr>
        <w:tblW w:w="14845" w:type="dxa"/>
        <w:jc w:val="left"/>
        <w:tblInd w:w="0" w:type="dxa"/>
        <w:tblLayout w:type="fixed"/>
        <w:tblCellMar>
          <w:top w:w="0" w:type="dxa"/>
          <w:left w:w="0" w:type="dxa"/>
          <w:bottom w:w="0" w:type="dxa"/>
          <w:right w:w="0" w:type="dxa"/>
        </w:tblCellMar>
      </w:tblPr>
      <w:tblGrid>
        <w:gridCol w:w="1535"/>
        <w:gridCol w:w="90"/>
        <w:gridCol w:w="170"/>
        <w:gridCol w:w="1010"/>
        <w:gridCol w:w="185"/>
        <w:gridCol w:w="90"/>
        <w:gridCol w:w="170"/>
        <w:gridCol w:w="1010"/>
        <w:gridCol w:w="185"/>
        <w:gridCol w:w="90"/>
        <w:gridCol w:w="170"/>
        <w:gridCol w:w="1010"/>
        <w:gridCol w:w="185"/>
        <w:gridCol w:w="90"/>
        <w:gridCol w:w="170"/>
        <w:gridCol w:w="1010"/>
        <w:gridCol w:w="185"/>
        <w:gridCol w:w="90"/>
        <w:gridCol w:w="170"/>
        <w:gridCol w:w="1010"/>
        <w:gridCol w:w="185"/>
        <w:gridCol w:w="90"/>
        <w:gridCol w:w="170"/>
        <w:gridCol w:w="1010"/>
        <w:gridCol w:w="185"/>
        <w:gridCol w:w="90"/>
        <w:gridCol w:w="170"/>
        <w:gridCol w:w="1130"/>
        <w:gridCol w:w="90"/>
        <w:gridCol w:w="90"/>
        <w:gridCol w:w="170"/>
        <w:gridCol w:w="1130"/>
        <w:gridCol w:w="90"/>
        <w:gridCol w:w="90"/>
        <w:gridCol w:w="170"/>
        <w:gridCol w:w="1130"/>
        <w:gridCol w:w="230"/>
      </w:tblGrid>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2022</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Prior</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Revolving</w:t>
              <w:br/>
              <w:t>Loans</w:t>
              <w:br/>
              <w:t>Amortized</w:t>
              <w:br/>
              <w:t>Cost Basis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Revolving</w:t>
              <w:br/>
              <w:t xml:space="preserve">Loans </w:t>
              <w:br/>
              <w:t>Converted</w:t>
              <w:br/>
              <w:t>to Term</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535" w:type="dxa"/>
            <w:tcBorders/>
            <w:vAlign w:val="center"/>
          </w:tcPr>
          <w:p>
            <w:pPr>
              <w:pStyle w:val="TableContents"/>
              <w:bidi w:val="0"/>
              <w:spacing w:before="0" w:after="0"/>
              <w:ind w:left="0" w:right="0" w:hanging="144"/>
              <w:jc w:val="left"/>
              <w:rPr/>
            </w:pPr>
            <w:r>
              <w:rPr>
                <w:b/>
              </w:rPr>
              <w:t>As of June 30, 2026</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144"/>
              <w:jc w:val="left"/>
              <w:rPr/>
            </w:pPr>
            <w:r>
              <w:rPr>
                <w:b/>
              </w:rPr>
              <w:t>C&amp;I</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By internally assigned grade: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Pass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169,129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219,469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177,007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118,326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107,129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245,568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576,276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16,721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1,629,625</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Special Mention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2,081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6,168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1,866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905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3,337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6,436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20,983</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Substandard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2,253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602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3,603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6,025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10,939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13,818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37,631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75,261</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0"/>
              <w:jc w:val="left"/>
              <w:rPr/>
            </w:pPr>
            <w:r>
              <w:rPr/>
              <w:t xml:space="preserve">Doubtful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1,250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4,137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30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5,443</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C&amp;I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171,572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223,402</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190,915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126,247</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118,998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262,724</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620,343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17,111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1,731,312</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Current-period gross charge-offs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(399</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(84</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(1,276</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(48</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(192</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(1,999</w:t>
            </w:r>
          </w:p>
        </w:tc>
        <w:tc>
          <w:tcPr>
            <w:tcW w:w="230" w:type="dxa"/>
            <w:tcBorders>
              <w:bottom w:val="single" w:sz="12" w:space="0" w:color="000000"/>
            </w:tcBorders>
            <w:tcMar>
              <w:bottom w:w="28" w:type="dxa"/>
            </w:tcMar>
            <w:vAlign w:val="center"/>
          </w:tcPr>
          <w:p>
            <w:pPr>
              <w:pStyle w:val="TableContents"/>
              <w:bidi w:val="0"/>
              <w:spacing w:before="0" w:after="283"/>
              <w:jc w:val="left"/>
              <w:rPr>
                <w:b/>
              </w:rPr>
            </w:pPr>
            <w:r>
              <w:rPr>
                <w:b/>
              </w:rPr>
              <w:t>) </w:t>
            </w:r>
          </w:p>
        </w:tc>
      </w:tr>
      <w:tr>
        <w:trPr/>
        <w:tc>
          <w:tcPr>
            <w:tcW w:w="1535" w:type="dxa"/>
            <w:tcBorders/>
            <w:shd w:fill="CCEEFF" w:val="clear"/>
            <w:vAlign w:val="center"/>
          </w:tcPr>
          <w:p>
            <w:pPr>
              <w:pStyle w:val="TableContents"/>
              <w:bidi w:val="0"/>
              <w:spacing w:before="0" w:after="0"/>
              <w:ind w:left="0" w:right="0" w:hanging="144"/>
              <w:jc w:val="left"/>
              <w:rPr/>
            </w:pPr>
            <w:r>
              <w:rPr>
                <w:b/>
              </w:rPr>
              <w:t>CRE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By internally assigned grade: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Pass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302,180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366,113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453,376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408,916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619,133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1,800,135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353,987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44,074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4,347,914</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Special mention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2,950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7,021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28,612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55,777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67,831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7,964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8,678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178,833</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Substandard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4,647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26,980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24,091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25,557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90,661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12,069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184,547</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CRE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302,479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373,710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487,377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461,619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700,467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1,958,627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374,020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52,995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4,711,294</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Current-period 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(1,060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(1,866</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1535" w:type="dxa"/>
            <w:tcBorders/>
            <w:vAlign w:val="center"/>
          </w:tcPr>
          <w:p>
            <w:pPr>
              <w:pStyle w:val="TableContents"/>
              <w:bidi w:val="0"/>
              <w:spacing w:before="0" w:after="0"/>
              <w:ind w:left="0" w:right="0" w:hanging="144"/>
              <w:jc w:val="left"/>
              <w:rPr/>
            </w:pPr>
            <w:r>
              <w:rPr>
                <w:b/>
              </w:rPr>
              <w:t>Auto</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406,028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461,494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293,880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148,916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91,504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24,967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1,426,789</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688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959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3,267</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auto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406,060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462,182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294,685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149,875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92,040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25,214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1,430,056</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Current-period 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(2,512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1535" w:type="dxa"/>
            <w:tcBorders/>
            <w:vAlign w:val="center"/>
          </w:tcPr>
          <w:p>
            <w:pPr>
              <w:pStyle w:val="TableContents"/>
              <w:bidi w:val="0"/>
              <w:spacing w:before="0" w:after="0"/>
              <w:ind w:left="0" w:right="0" w:hanging="144"/>
              <w:jc w:val="left"/>
              <w:rPr/>
            </w:pPr>
            <w:r>
              <w:rPr>
                <w:b/>
              </w:rPr>
              <w:t>Residential solar</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904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1,878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2,091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102,747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346,409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238,159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692,188</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989</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residential solar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904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1,878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2,091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102,839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346,963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238,502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693,177</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Current-period 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(2,867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(1,312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(4,560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1535" w:type="dxa"/>
            <w:tcBorders/>
            <w:vAlign w:val="center"/>
          </w:tcPr>
          <w:p>
            <w:pPr>
              <w:pStyle w:val="TableContents"/>
              <w:bidi w:val="0"/>
              <w:spacing w:before="0" w:after="0"/>
              <w:ind w:left="0" w:right="0" w:hanging="144"/>
              <w:jc w:val="left"/>
              <w:rPr/>
            </w:pPr>
            <w:r>
              <w:rPr>
                <w:b/>
              </w:rPr>
              <w:t>Other consumer</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12,794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9,685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5,054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2,197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2,481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17,215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26,911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76,362</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other consumer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12,794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9,726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5,072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2,213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2,538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17,362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26,915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64</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76,684</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Current-period 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(1,710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1535" w:type="dxa"/>
            <w:tcBorders/>
            <w:vAlign w:val="center"/>
          </w:tcPr>
          <w:p>
            <w:pPr>
              <w:pStyle w:val="TableContents"/>
              <w:bidi w:val="0"/>
              <w:spacing w:before="0" w:after="0"/>
              <w:ind w:left="0" w:right="0" w:hanging="144"/>
              <w:jc w:val="left"/>
              <w:rPr/>
            </w:pPr>
            <w:r>
              <w:rPr>
                <w:b/>
              </w:rPr>
              <w:t>Residential</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148,655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197,230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232,276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233,051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392,812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1,615,444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377,831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14,088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3,211,387</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1,436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2,382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3,050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12,961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20,171</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residential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148,655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197,318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233,712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235,433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395,862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1,628,405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377,831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14,342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3,231,558</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Current-period 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loans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1,042,464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1,268,216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1,213,852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1,078,226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1,656,868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4,130,834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1,399,109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84,512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8" w:space="0" w:color="000000"/>
            </w:tcBorders>
            <w:tcMar>
              <w:bottom w:w="28" w:type="dxa"/>
            </w:tcMar>
            <w:vAlign w:val="center"/>
          </w:tcPr>
          <w:p>
            <w:pPr>
              <w:pStyle w:val="TableContents"/>
              <w:bidi w:val="0"/>
              <w:spacing w:before="0" w:after="283"/>
              <w:jc w:val="right"/>
              <w:rPr>
                <w:b/>
              </w:rPr>
            </w:pPr>
            <w:r>
              <w:rPr>
                <w:b/>
              </w:rPr>
              <w:t>11,874,081</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Current-period 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(1,320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(2,290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(4,400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(3,675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(12,852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4125" w:type="dxa"/>
        <w:jc w:val="left"/>
        <w:tblInd w:w="0" w:type="dxa"/>
        <w:tblLayout w:type="fixed"/>
        <w:tblCellMar>
          <w:top w:w="0" w:type="dxa"/>
          <w:left w:w="0" w:type="dxa"/>
          <w:bottom w:w="0" w:type="dxa"/>
          <w:right w:w="0" w:type="dxa"/>
        </w:tblCellMar>
      </w:tblPr>
      <w:tblGrid>
        <w:gridCol w:w="1535"/>
        <w:gridCol w:w="90"/>
        <w:gridCol w:w="90"/>
        <w:gridCol w:w="1010"/>
        <w:gridCol w:w="185"/>
        <w:gridCol w:w="90"/>
        <w:gridCol w:w="90"/>
        <w:gridCol w:w="1010"/>
        <w:gridCol w:w="185"/>
        <w:gridCol w:w="90"/>
        <w:gridCol w:w="90"/>
        <w:gridCol w:w="1010"/>
        <w:gridCol w:w="185"/>
        <w:gridCol w:w="90"/>
        <w:gridCol w:w="90"/>
        <w:gridCol w:w="1010"/>
        <w:gridCol w:w="185"/>
        <w:gridCol w:w="90"/>
        <w:gridCol w:w="90"/>
        <w:gridCol w:w="1010"/>
        <w:gridCol w:w="185"/>
        <w:gridCol w:w="90"/>
        <w:gridCol w:w="90"/>
        <w:gridCol w:w="1010"/>
        <w:gridCol w:w="185"/>
        <w:gridCol w:w="90"/>
        <w:gridCol w:w="90"/>
        <w:gridCol w:w="1130"/>
        <w:gridCol w:w="90"/>
        <w:gridCol w:w="90"/>
        <w:gridCol w:w="90"/>
        <w:gridCol w:w="1130"/>
        <w:gridCol w:w="90"/>
        <w:gridCol w:w="90"/>
        <w:gridCol w:w="90"/>
        <w:gridCol w:w="1130"/>
        <w:gridCol w:w="230"/>
      </w:tblGrid>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2024</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2023</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2022</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2021</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rPr>
              <w:t>Prior</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Revolving</w:t>
            </w:r>
            <w:r>
              <w:rPr/>
              <w:br/>
            </w:r>
            <w:r>
              <w:rPr>
                <w:b/>
              </w:rPr>
              <w:t xml:space="preserve">Loans </w:t>
              <w:br/>
              <w:t>Amortized</w:t>
              <w:br/>
              <w:t>Cost Basis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Revolving</w:t>
              <w:br/>
              <w:t>Loans</w:t>
              <w:br/>
              <w:t>Converted</w:t>
              <w:br/>
              <w:t>to Term</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535" w:type="dxa"/>
            <w:tcBorders/>
            <w:vAlign w:val="center"/>
          </w:tcPr>
          <w:p>
            <w:pPr>
              <w:pStyle w:val="TableContents"/>
              <w:bidi w:val="0"/>
              <w:spacing w:before="0" w:after="0"/>
              <w:ind w:left="0" w:right="0" w:hanging="144"/>
              <w:jc w:val="left"/>
              <w:rPr/>
            </w:pPr>
            <w:r>
              <w:rPr>
                <w:b/>
              </w:rPr>
              <w:t>As of December 31, 2025</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144"/>
              <w:jc w:val="left"/>
              <w:rPr/>
            </w:pPr>
            <w:r>
              <w:rPr>
                <w:b/>
              </w:rPr>
              <w:t>C&amp;I</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By internally assigned grade: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Pass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264,031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212,997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147,722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147,300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127,598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166,819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130" w:type="dxa"/>
            <w:tcBorders/>
            <w:shd w:fill="CCEEFF" w:val="clear"/>
            <w:vAlign w:val="center"/>
          </w:tcPr>
          <w:p>
            <w:pPr>
              <w:pStyle w:val="TableContents"/>
              <w:bidi w:val="0"/>
              <w:spacing w:before="0" w:after="283"/>
              <w:jc w:val="right"/>
              <w:rPr/>
            </w:pPr>
            <w:r>
              <w:rPr/>
              <w:t>475,710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130" w:type="dxa"/>
            <w:tcBorders/>
            <w:shd w:fill="CCEEFF" w:val="clear"/>
            <w:vAlign w:val="center"/>
          </w:tcPr>
          <w:p>
            <w:pPr>
              <w:pStyle w:val="TableContents"/>
              <w:bidi w:val="0"/>
              <w:spacing w:before="0" w:after="283"/>
              <w:jc w:val="right"/>
              <w:rPr/>
            </w:pPr>
            <w:r>
              <w:rPr/>
              <w:t>6,820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130" w:type="dxa"/>
            <w:tcBorders/>
            <w:shd w:fill="CCEEFF" w:val="clear"/>
            <w:vAlign w:val="center"/>
          </w:tcPr>
          <w:p>
            <w:pPr>
              <w:pStyle w:val="TableContents"/>
              <w:bidi w:val="0"/>
              <w:spacing w:before="0" w:after="283"/>
              <w:jc w:val="right"/>
              <w:rPr/>
            </w:pPr>
            <w:r>
              <w:rPr/>
              <w:t>1,548,997</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Special mention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1,063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7,729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4,131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7,010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807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2,809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130" w:type="dxa"/>
            <w:tcBorders/>
            <w:vAlign w:val="center"/>
          </w:tcPr>
          <w:p>
            <w:pPr>
              <w:pStyle w:val="TableContents"/>
              <w:bidi w:val="0"/>
              <w:spacing w:before="0" w:after="283"/>
              <w:jc w:val="right"/>
              <w:rPr/>
            </w:pPr>
            <w:r>
              <w:rPr/>
              <w:t>7,405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130" w:type="dxa"/>
            <w:tcBorders/>
            <w:vAlign w:val="center"/>
          </w:tcPr>
          <w:p>
            <w:pPr>
              <w:pStyle w:val="TableContents"/>
              <w:bidi w:val="0"/>
              <w:spacing w:before="0" w:after="283"/>
              <w:jc w:val="right"/>
              <w:rPr/>
            </w:pPr>
            <w:r>
              <w:rPr/>
              <w:t>30,954</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Substandard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10" w:type="dxa"/>
            <w:tcBorders/>
            <w:shd w:fill="CCEEFF" w:val="clear"/>
            <w:vAlign w:val="center"/>
          </w:tcPr>
          <w:p>
            <w:pPr>
              <w:pStyle w:val="TableContents"/>
              <w:bidi w:val="0"/>
              <w:spacing w:before="0" w:after="283"/>
              <w:jc w:val="right"/>
              <w:rPr/>
            </w:pPr>
            <w:r>
              <w:rPr/>
              <w:t>722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10" w:type="dxa"/>
            <w:tcBorders/>
            <w:shd w:fill="CCEEFF" w:val="clear"/>
            <w:vAlign w:val="center"/>
          </w:tcPr>
          <w:p>
            <w:pPr>
              <w:pStyle w:val="TableContents"/>
              <w:bidi w:val="0"/>
              <w:spacing w:before="0" w:after="283"/>
              <w:jc w:val="right"/>
              <w:rPr/>
            </w:pPr>
            <w:r>
              <w:rPr/>
              <w:t>3,150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10" w:type="dxa"/>
            <w:tcBorders/>
            <w:shd w:fill="CCEEFF" w:val="clear"/>
            <w:vAlign w:val="center"/>
          </w:tcPr>
          <w:p>
            <w:pPr>
              <w:pStyle w:val="TableContents"/>
              <w:bidi w:val="0"/>
              <w:spacing w:before="0" w:after="283"/>
              <w:jc w:val="right"/>
              <w:rPr/>
            </w:pPr>
            <w:r>
              <w:rPr/>
              <w:t>5,122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10" w:type="dxa"/>
            <w:tcBorders/>
            <w:shd w:fill="CCEEFF" w:val="clear"/>
            <w:vAlign w:val="center"/>
          </w:tcPr>
          <w:p>
            <w:pPr>
              <w:pStyle w:val="TableContents"/>
              <w:bidi w:val="0"/>
              <w:spacing w:before="0" w:after="283"/>
              <w:jc w:val="right"/>
              <w:rPr/>
            </w:pPr>
            <w:r>
              <w:rPr/>
              <w:t>7,322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10" w:type="dxa"/>
            <w:tcBorders/>
            <w:shd w:fill="CCEEFF" w:val="clear"/>
            <w:vAlign w:val="center"/>
          </w:tcPr>
          <w:p>
            <w:pPr>
              <w:pStyle w:val="TableContents"/>
              <w:bidi w:val="0"/>
              <w:spacing w:before="0" w:after="283"/>
              <w:jc w:val="right"/>
              <w:rPr/>
            </w:pPr>
            <w:r>
              <w:rPr/>
              <w:t>11,744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010" w:type="dxa"/>
            <w:tcBorders/>
            <w:shd w:fill="CCEEFF" w:val="clear"/>
            <w:vAlign w:val="center"/>
          </w:tcPr>
          <w:p>
            <w:pPr>
              <w:pStyle w:val="TableContents"/>
              <w:bidi w:val="0"/>
              <w:spacing w:before="0" w:after="283"/>
              <w:jc w:val="right"/>
              <w:rPr/>
            </w:pPr>
            <w:r>
              <w:rPr/>
              <w:t>2,208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130" w:type="dxa"/>
            <w:tcBorders/>
            <w:shd w:fill="CCEEFF" w:val="clear"/>
            <w:vAlign w:val="center"/>
          </w:tcPr>
          <w:p>
            <w:pPr>
              <w:pStyle w:val="TableContents"/>
              <w:bidi w:val="0"/>
              <w:spacing w:before="0" w:after="283"/>
              <w:jc w:val="right"/>
              <w:rPr/>
            </w:pPr>
            <w:r>
              <w:rPr/>
              <w:t>37,794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130" w:type="dxa"/>
            <w:tcBorders/>
            <w:shd w:fill="CCEEFF" w:val="clear"/>
            <w:vAlign w:val="center"/>
          </w:tcPr>
          <w:p>
            <w:pPr>
              <w:pStyle w:val="TableContents"/>
              <w:bidi w:val="0"/>
              <w:spacing w:before="0" w:after="283"/>
              <w:jc w:val="right"/>
              <w:rPr/>
            </w:pPr>
            <w:r>
              <w:rPr/>
              <w:t>611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c>
          <w:tcPr>
            <w:tcW w:w="1130" w:type="dxa"/>
            <w:tcBorders/>
            <w:shd w:fill="CCEEFF" w:val="clear"/>
            <w:vAlign w:val="center"/>
          </w:tcPr>
          <w:p>
            <w:pPr>
              <w:pStyle w:val="TableContents"/>
              <w:bidi w:val="0"/>
              <w:spacing w:before="0" w:after="283"/>
              <w:jc w:val="right"/>
              <w:rPr/>
            </w:pPr>
            <w:r>
              <w:rPr/>
              <w:t>68,673</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0"/>
              <w:jc w:val="left"/>
              <w:rPr/>
            </w:pPr>
            <w:r>
              <w:rPr/>
              <w:t xml:space="preserve">Doubtful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107</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C&amp;I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pPr>
            <w:r>
              <w:rPr/>
              <w:t>265,816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pPr>
            <w:r>
              <w:rPr/>
              <w:t>223,876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pPr>
            <w:r>
              <w:rPr/>
              <w:t>157,033</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pPr>
            <w:r>
              <w:rPr/>
              <w:t>161,665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pPr>
            <w:r>
              <w:rPr/>
              <w:t>140,165</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pPr>
            <w:r>
              <w:rPr/>
              <w:t>171,836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520,909</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7,431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1,648,731</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0"/>
              <w:ind w:left="0" w:right="0" w:hanging="144"/>
              <w:jc w:val="left"/>
              <w:rPr/>
            </w:pPr>
            <w:r>
              <w:rPr/>
              <w:t>Current-period</w:t>
              <w:br/>
              <w:t xml:space="preserve">gross charge-offs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(497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(477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(63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(263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(1,218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(2,518</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144"/>
              <w:jc w:val="left"/>
              <w:rPr/>
            </w:pPr>
            <w:r>
              <w:rPr>
                <w:b/>
              </w:rPr>
              <w:t>CRE</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By internally assigned grade: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Pass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360,858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483,504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436,790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627,582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577,221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010" w:type="dxa"/>
            <w:tcBorders/>
            <w:shd w:fill="CCEEFF" w:val="clear"/>
            <w:vAlign w:val="center"/>
          </w:tcPr>
          <w:p>
            <w:pPr>
              <w:pStyle w:val="TableContents"/>
              <w:bidi w:val="0"/>
              <w:spacing w:before="0" w:after="283"/>
              <w:jc w:val="right"/>
              <w:rPr/>
            </w:pPr>
            <w:r>
              <w:rPr/>
              <w:t>1,362,602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130" w:type="dxa"/>
            <w:tcBorders/>
            <w:shd w:fill="CCEEFF" w:val="clear"/>
            <w:vAlign w:val="center"/>
          </w:tcPr>
          <w:p>
            <w:pPr>
              <w:pStyle w:val="TableContents"/>
              <w:bidi w:val="0"/>
              <w:spacing w:before="0" w:after="283"/>
              <w:jc w:val="right"/>
              <w:rPr/>
            </w:pPr>
            <w:r>
              <w:rPr/>
              <w:t>329,111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130" w:type="dxa"/>
            <w:tcBorders/>
            <w:shd w:fill="CCEEFF" w:val="clear"/>
            <w:vAlign w:val="center"/>
          </w:tcPr>
          <w:p>
            <w:pPr>
              <w:pStyle w:val="TableContents"/>
              <w:bidi w:val="0"/>
              <w:spacing w:before="0" w:after="283"/>
              <w:jc w:val="right"/>
              <w:rPr/>
            </w:pPr>
            <w:r>
              <w:rPr/>
              <w:t>49,483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44"/>
              <w:jc w:val="left"/>
              <w:rPr/>
            </w:pPr>
            <w:r>
              <w:rPr/>
              <w:t>$</w:t>
            </w:r>
          </w:p>
        </w:tc>
        <w:tc>
          <w:tcPr>
            <w:tcW w:w="1130" w:type="dxa"/>
            <w:tcBorders/>
            <w:shd w:fill="CCEEFF" w:val="clear"/>
            <w:vAlign w:val="center"/>
          </w:tcPr>
          <w:p>
            <w:pPr>
              <w:pStyle w:val="TableContents"/>
              <w:bidi w:val="0"/>
              <w:spacing w:before="0" w:after="283"/>
              <w:jc w:val="right"/>
              <w:rPr/>
            </w:pPr>
            <w:r>
              <w:rPr/>
              <w:t>4,227,151</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Special mention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5,509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7,351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22,545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50,020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15,226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010" w:type="dxa"/>
            <w:tcBorders/>
            <w:vAlign w:val="center"/>
          </w:tcPr>
          <w:p>
            <w:pPr>
              <w:pStyle w:val="TableContents"/>
              <w:bidi w:val="0"/>
              <w:spacing w:before="0" w:after="283"/>
              <w:jc w:val="right"/>
              <w:rPr/>
            </w:pPr>
            <w:r>
              <w:rPr/>
              <w:t>62,542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130" w:type="dxa"/>
            <w:tcBorders/>
            <w:vAlign w:val="center"/>
          </w:tcPr>
          <w:p>
            <w:pPr>
              <w:pStyle w:val="TableContents"/>
              <w:bidi w:val="0"/>
              <w:spacing w:before="0" w:after="283"/>
              <w:jc w:val="right"/>
              <w:rPr/>
            </w:pPr>
            <w:r>
              <w:rPr/>
              <w:t>7,053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 </w:t>
            </w:r>
          </w:p>
        </w:tc>
        <w:tc>
          <w:tcPr>
            <w:tcW w:w="1130" w:type="dxa"/>
            <w:tcBorders/>
            <w:vAlign w:val="center"/>
          </w:tcPr>
          <w:p>
            <w:pPr>
              <w:pStyle w:val="TableContents"/>
              <w:bidi w:val="0"/>
              <w:spacing w:before="0" w:after="283"/>
              <w:jc w:val="right"/>
              <w:rPr/>
            </w:pPr>
            <w:r>
              <w:rPr/>
              <w:t>170,246</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Substandard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5,080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16,539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17,226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44,496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19,266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102,861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17,136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222,604</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CRE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371,447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507,394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476,561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722,098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611,713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1,528,005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353,300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49,483</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4,620,001</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Current-period</w:t>
              <w:br/>
              <w:t xml:space="preserve">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(2,105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(2,283</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144"/>
              <w:jc w:val="left"/>
              <w:rPr/>
            </w:pPr>
            <w:r>
              <w:rPr>
                <w:b/>
              </w:rPr>
              <w:t>Auto</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563,305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371,367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199,608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132,355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40,036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6,789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1,313,460</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547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1,185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982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738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375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3,905</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auto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563,852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372,552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200,590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133,093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40,411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6,867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1,317,365</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Current-period</w:t>
              <w:br/>
              <w:t xml:space="preserve">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(1,526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(1,320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(1,494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(609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(262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(5,474</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144"/>
              <w:jc w:val="left"/>
              <w:rPr/>
            </w:pPr>
            <w:r>
              <w:rPr>
                <w:b/>
              </w:rPr>
              <w:t>Residential solar</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1,978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2,200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108,529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365,629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150,757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106,546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735,639</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761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128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1,331</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Residential solar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1,978</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2,200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108,587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366,390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151,141</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106,674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736,970</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Current-period</w:t>
              <w:br/>
              <w:t xml:space="preserve">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(1,012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(5,153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(1,619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(844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(8,628</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144"/>
              <w:jc w:val="left"/>
              <w:rPr/>
            </w:pPr>
            <w:r>
              <w:rPr>
                <w:b/>
              </w:rPr>
              <w:t>Other consumer</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16,080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7,334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3,257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4,465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11,689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13,636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25,995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82,491</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135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402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other consumer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16,080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7,363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3,283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4,502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11,824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13,762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26,010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69</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82,893</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Current-period</w:t>
              <w:br/>
              <w:t xml:space="preserve">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(815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(404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(941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(1,940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(1,195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(5,390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144"/>
              <w:jc w:val="left"/>
              <w:rPr/>
            </w:pPr>
            <w:r>
              <w:rPr>
                <w:b/>
              </w:rPr>
              <w:t>Residential</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pPr>
            <w:r>
              <w:rPr/>
              <w:t xml:space="preserve">By payment activity: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pPr>
            <w:r>
              <w:rPr/>
              <w:t xml:space="preserve">Performing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192,323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237,485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244,007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404,751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473,304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010" w:type="dxa"/>
            <w:tcBorders/>
            <w:vAlign w:val="center"/>
          </w:tcPr>
          <w:p>
            <w:pPr>
              <w:pStyle w:val="TableContents"/>
              <w:bidi w:val="0"/>
              <w:spacing w:before="0" w:after="283"/>
              <w:jc w:val="right"/>
              <w:rPr/>
            </w:pPr>
            <w:r>
              <w:rPr/>
              <w:t>1,242,708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346,079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27,566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44"/>
              <w:jc w:val="left"/>
              <w:rPr/>
            </w:pPr>
            <w:r>
              <w:rPr/>
              <w:t>$</w:t>
            </w:r>
          </w:p>
        </w:tc>
        <w:tc>
          <w:tcPr>
            <w:tcW w:w="1130" w:type="dxa"/>
            <w:tcBorders/>
            <w:vAlign w:val="center"/>
          </w:tcPr>
          <w:p>
            <w:pPr>
              <w:pStyle w:val="TableContents"/>
              <w:bidi w:val="0"/>
              <w:spacing w:before="0" w:after="283"/>
              <w:jc w:val="right"/>
              <w:rPr/>
            </w:pPr>
            <w:r>
              <w:rPr/>
              <w:t>3,168,223</w:t>
            </w:r>
          </w:p>
        </w:tc>
        <w:tc>
          <w:tcPr>
            <w:tcW w:w="230"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Nonperforming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1,629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2,419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3,126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3,238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13,278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23,931</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residential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192,323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239,114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246,426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407,877</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476,542</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1,255,986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346,155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27,731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3,192,154</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Current-period</w:t>
              <w:br/>
              <w:t xml:space="preserve">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(272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(574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(916</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loans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1,411,496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1,352,499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1,192,480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1,795,625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1,431,796</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3,083,130</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1,246,374</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84,714</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0" w:right="0" w:hanging="144"/>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11,598,114</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Current-period</w:t>
              <w:br/>
              <w:t xml:space="preserve">gross charge-offs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(1,078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(2,443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(3,354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(8,225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(4,431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(5,678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(25,209</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Allowance for Credit Losses on Off-Balance Sheet Credit Exposures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on unfunded commitments totaled $5.5 million as of June 30, 2026, compared to $5.8 million as of December 31, 2025. There was no reserve for unfunded loan commitments for the three months ended June 30, 2026, compared to $1.7 million for the three months ended June 30, 2025. The reserve for unfunded loan commitments was $(0.3) million for the six months ended June 30, 2026, compared to $1.8 million for the six months ended June 30, 2025. The reserve for unfunded loan commitments was recorded within other noninterest expense in the unaudited interim consolidated statements of income. Included in the reserve for unfunded loan commitments for the three and six months ended June 30, 2025, was $0.5 million of acquisition-related provision for unfunded loan commitments due to the Evans acquisition.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Loan Modifications to Borrowers Experiencing Financial Difficulties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When the Company modifies a loan with financial difficulty, such modifications generally include one or a combination of the following: an extension of the maturity date at a stated rate of interest lower than the current market rate for new debt with similar risk; a change in scheduled payment amount; or principal forgiveness.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show the amortized cost basis at the end of the reporting period of the loans modified to borrowers experiencing financial difficulty, disaggregated by class of financing receivable and type of concession granted: </w:t>
      </w:r>
    </w:p>
    <w:p>
      <w:pPr>
        <w:pStyle w:val="TextBody"/>
        <w:bidi w:val="0"/>
        <w:spacing w:before="0" w:after="0"/>
        <w:jc w:val="both"/>
        <w:rPr/>
      </w:pPr>
      <w:r>
        <w:rPr/>
        <w:t xml:space="preserve">  </w:t>
      </w:r>
    </w:p>
    <w:tbl>
      <w:tblPr>
        <w:tblW w:w="6055" w:type="dxa"/>
        <w:jc w:val="left"/>
        <w:tblInd w:w="0" w:type="dxa"/>
        <w:tblLayout w:type="fixed"/>
        <w:tblCellMar>
          <w:top w:w="0" w:type="dxa"/>
          <w:left w:w="0" w:type="dxa"/>
          <w:bottom w:w="0" w:type="dxa"/>
          <w:right w:w="0" w:type="dxa"/>
        </w:tblCellMar>
      </w:tblPr>
      <w:tblGrid>
        <w:gridCol w:w="2255"/>
        <w:gridCol w:w="90"/>
        <w:gridCol w:w="170"/>
        <w:gridCol w:w="1190"/>
        <w:gridCol w:w="90"/>
        <w:gridCol w:w="90"/>
        <w:gridCol w:w="90"/>
        <w:gridCol w:w="1745"/>
        <w:gridCol w:w="335"/>
      </w:tblGrid>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3800" w:type="dxa"/>
            <w:gridSpan w:val="8"/>
            <w:tcBorders>
              <w:bottom w:val="single" w:sz="12" w:space="0" w:color="000000"/>
            </w:tcBorders>
            <w:tcMar>
              <w:bottom w:w="28" w:type="dxa"/>
            </w:tcMar>
            <w:vAlign w:val="center"/>
          </w:tcPr>
          <w:p>
            <w:pPr>
              <w:pStyle w:val="TableContents"/>
              <w:bidi w:val="0"/>
              <w:spacing w:before="0" w:after="283"/>
              <w:jc w:val="center"/>
              <w:rPr/>
            </w:pPr>
            <w:r>
              <w:rPr>
                <w:b/>
              </w:rPr>
              <w:t>Three Months Ended June 30, 2026</w:t>
            </w:r>
            <w:r>
              <w:rPr/>
              <w:t xml:space="preserve"> </w:t>
            </w:r>
          </w:p>
        </w:tc>
      </w:tr>
      <w:tr>
        <w:trPr/>
        <w:tc>
          <w:tcPr>
            <w:tcW w:w="2255" w:type="dxa"/>
            <w:tcBorders/>
            <w:vAlign w:val="center"/>
          </w:tcPr>
          <w:p>
            <w:pPr>
              <w:pStyle w:val="TableContents"/>
              <w:bidi w:val="0"/>
              <w:spacing w:before="0" w:after="283"/>
              <w:jc w:val="left"/>
              <w:rPr/>
            </w:pPr>
            <w:r>
              <w:rPr/>
              <w:t> </w:t>
            </w:r>
          </w:p>
        </w:tc>
        <w:tc>
          <w:tcPr>
            <w:tcW w:w="3800" w:type="dxa"/>
            <w:gridSpan w:val="8"/>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Term Extension</w:t>
            </w:r>
          </w:p>
        </w:tc>
      </w:tr>
      <w:tr>
        <w:trPr/>
        <w:tc>
          <w:tcPr>
            <w:tcW w:w="225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(Dollars 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pPr>
            <w:r>
              <w:rPr>
                <w:b/>
              </w:rPr>
              <w:t xml:space="preserve">Amortized </w:t>
              <w:br/>
              <w:t>Cost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45" w:type="dxa"/>
            <w:tcBorders>
              <w:bottom w:val="single" w:sz="12" w:space="0" w:color="000000"/>
            </w:tcBorders>
            <w:tcMar>
              <w:bottom w:w="28" w:type="dxa"/>
            </w:tcMar>
            <w:vAlign w:val="center"/>
          </w:tcPr>
          <w:p>
            <w:pPr>
              <w:pStyle w:val="TableContents"/>
              <w:bidi w:val="0"/>
              <w:spacing w:before="0" w:after="283"/>
              <w:jc w:val="center"/>
              <w:rPr/>
            </w:pPr>
            <w:r>
              <w:rPr>
                <w:b/>
              </w:rPr>
              <w:t>% of Total Class</w:t>
              <w:br/>
              <w:t xml:space="preserve">of Financing </w:t>
              <w:br/>
              <w:t>Receivables</w:t>
            </w:r>
            <w:r>
              <w:rPr/>
              <w:t xml:space="preserve"> </w:t>
            </w:r>
          </w:p>
        </w:tc>
        <w:tc>
          <w:tcPr>
            <w:tcW w:w="3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255" w:type="dxa"/>
            <w:tcBorders/>
            <w:vAlign w:val="center"/>
          </w:tcPr>
          <w:p>
            <w:pPr>
              <w:pStyle w:val="TableContents"/>
              <w:bidi w:val="0"/>
              <w:spacing w:before="0" w:after="0"/>
              <w:ind w:left="0" w:right="0" w:hanging="144"/>
              <w:jc w:val="left"/>
              <w:rPr/>
            </w:pPr>
            <w:r>
              <w:rPr/>
              <w:t xml:space="preserve">Consumer loans: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2255"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Auto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0.001</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r>
      <w:tr>
        <w:trPr/>
        <w:tc>
          <w:tcPr>
            <w:tcW w:w="225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consumer loans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90" w:type="dxa"/>
            <w:tcBorders>
              <w:bottom w:val="single" w:sz="12" w:space="0" w:color="000000"/>
            </w:tcBorders>
            <w:tcMar>
              <w:bottom w:w="28" w:type="dxa"/>
            </w:tcMar>
            <w:vAlign w:val="center"/>
          </w:tcPr>
          <w:p>
            <w:pPr>
              <w:pStyle w:val="TableContents"/>
              <w:bidi w:val="0"/>
              <w:spacing w:before="0" w:after="283"/>
              <w:jc w:val="right"/>
              <w:rPr>
                <w:b/>
              </w:rPr>
            </w:pPr>
            <w:r>
              <w:rPr>
                <w:b/>
              </w:rPr>
              <w:t>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25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Residential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0.018</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r>
      <w:tr>
        <w:trPr/>
        <w:tc>
          <w:tcPr>
            <w:tcW w:w="2255"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90" w:type="dxa"/>
            <w:tcBorders>
              <w:bottom w:val="double" w:sz="8" w:space="0" w:color="000000"/>
            </w:tcBorders>
            <w:tcMar>
              <w:bottom w:w="28" w:type="dxa"/>
            </w:tcMar>
            <w:vAlign w:val="center"/>
          </w:tcPr>
          <w:p>
            <w:pPr>
              <w:pStyle w:val="TableContents"/>
              <w:bidi w:val="0"/>
              <w:spacing w:before="0" w:after="283"/>
              <w:jc w:val="right"/>
              <w:rPr>
                <w:b/>
              </w:rPr>
            </w:pPr>
            <w:r>
              <w:rPr>
                <w:b/>
              </w:rPr>
              <w:t>602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45" w:type="dxa"/>
            <w:tcBorders>
              <w:bottom w:val="double" w:sz="8" w:space="0" w:color="000000"/>
            </w:tcBorders>
            <w:tcMar>
              <w:bottom w:w="28" w:type="dxa"/>
            </w:tcMar>
            <w:vAlign w:val="center"/>
          </w:tcPr>
          <w:p>
            <w:pPr>
              <w:pStyle w:val="TableContents"/>
              <w:bidi w:val="0"/>
              <w:spacing w:before="0" w:after="283"/>
              <w:jc w:val="left"/>
              <w:rPr/>
            </w:pPr>
            <w:r>
              <w:rPr/>
              <w:t> </w:t>
            </w:r>
          </w:p>
        </w:tc>
        <w:tc>
          <w:tcPr>
            <w:tcW w:w="3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9660" w:type="dxa"/>
        <w:jc w:val="left"/>
        <w:tblInd w:w="0" w:type="dxa"/>
        <w:tblLayout w:type="fixed"/>
        <w:tblCellMar>
          <w:top w:w="0" w:type="dxa"/>
          <w:left w:w="0" w:type="dxa"/>
          <w:bottom w:w="0" w:type="dxa"/>
          <w:right w:w="0" w:type="dxa"/>
        </w:tblCellMar>
      </w:tblPr>
      <w:tblGrid>
        <w:gridCol w:w="2255"/>
        <w:gridCol w:w="90"/>
        <w:gridCol w:w="170"/>
        <w:gridCol w:w="1190"/>
        <w:gridCol w:w="90"/>
        <w:gridCol w:w="90"/>
        <w:gridCol w:w="90"/>
        <w:gridCol w:w="1745"/>
        <w:gridCol w:w="245"/>
        <w:gridCol w:w="90"/>
        <w:gridCol w:w="170"/>
        <w:gridCol w:w="1130"/>
        <w:gridCol w:w="90"/>
        <w:gridCol w:w="90"/>
        <w:gridCol w:w="90"/>
        <w:gridCol w:w="1745"/>
        <w:gridCol w:w="290"/>
      </w:tblGrid>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both"/>
              <w:rPr/>
            </w:pPr>
            <w:r>
              <w:rPr/>
              <w:t> </w:t>
            </w:r>
          </w:p>
        </w:tc>
        <w:tc>
          <w:tcPr>
            <w:tcW w:w="7405" w:type="dxa"/>
            <w:gridSpan w:val="16"/>
            <w:tcBorders>
              <w:bottom w:val="single" w:sz="12" w:space="0" w:color="000000"/>
            </w:tcBorders>
            <w:tcMar>
              <w:bottom w:w="28" w:type="dxa"/>
            </w:tcMar>
            <w:vAlign w:val="center"/>
          </w:tcPr>
          <w:p>
            <w:pPr>
              <w:pStyle w:val="TableContents"/>
              <w:bidi w:val="0"/>
              <w:spacing w:before="0" w:after="283"/>
              <w:jc w:val="center"/>
              <w:rPr/>
            </w:pPr>
            <w:r>
              <w:rPr>
                <w:b/>
              </w:rPr>
              <w:t>Three Months Ended June 30, 2025</w:t>
            </w:r>
            <w:r>
              <w:rPr/>
              <w:t xml:space="preserve"> </w:t>
            </w:r>
          </w:p>
        </w:tc>
      </w:tr>
      <w:tr>
        <w:trPr/>
        <w:tc>
          <w:tcPr>
            <w:tcW w:w="2255" w:type="dxa"/>
            <w:tcBorders/>
            <w:vAlign w:val="center"/>
          </w:tcPr>
          <w:p>
            <w:pPr>
              <w:pStyle w:val="TableContents"/>
              <w:bidi w:val="0"/>
              <w:spacing w:before="0" w:after="283"/>
              <w:jc w:val="both"/>
              <w:rPr/>
            </w:pPr>
            <w:r>
              <w:rPr/>
              <w:t> </w:t>
            </w:r>
          </w:p>
        </w:tc>
        <w:tc>
          <w:tcPr>
            <w:tcW w:w="3710" w:type="dxa"/>
            <w:gridSpan w:val="8"/>
            <w:tcBorders>
              <w:bottom w:val="single" w:sz="12" w:space="0" w:color="000000"/>
            </w:tcBorders>
            <w:tcMar>
              <w:bottom w:w="28" w:type="dxa"/>
            </w:tcMar>
            <w:vAlign w:val="center"/>
          </w:tcPr>
          <w:p>
            <w:pPr>
              <w:pStyle w:val="TableContents"/>
              <w:bidi w:val="0"/>
              <w:spacing w:before="0" w:after="283"/>
              <w:jc w:val="center"/>
              <w:rPr/>
            </w:pPr>
            <w:r>
              <w:rPr>
                <w:b/>
              </w:rPr>
              <w:t>Term Extension</w:t>
            </w:r>
            <w:r>
              <w:rPr/>
              <w:t xml:space="preserve"> </w:t>
            </w:r>
          </w:p>
        </w:tc>
        <w:tc>
          <w:tcPr>
            <w:tcW w:w="3695" w:type="dxa"/>
            <w:gridSpan w:val="8"/>
            <w:tcBorders>
              <w:bottom w:val="single" w:sz="12" w:space="0" w:color="000000"/>
            </w:tcBorders>
            <w:tcMar>
              <w:bottom w:w="28" w:type="dxa"/>
            </w:tcMar>
            <w:vAlign w:val="center"/>
          </w:tcPr>
          <w:p>
            <w:pPr>
              <w:pStyle w:val="TableContents"/>
              <w:bidi w:val="0"/>
              <w:spacing w:before="0" w:after="283"/>
              <w:jc w:val="center"/>
              <w:rPr/>
            </w:pPr>
            <w:r>
              <w:rPr>
                <w:b/>
              </w:rPr>
              <w:t>Combination - Term</w:t>
              <w:br/>
              <w:t>Extension and Interest Rate</w:t>
              <w:br/>
              <w:t>Reduction</w:t>
            </w:r>
            <w:r>
              <w:rPr/>
              <w:t xml:space="preserve"> </w:t>
            </w:r>
          </w:p>
        </w:tc>
      </w:tr>
      <w:tr>
        <w:trPr/>
        <w:tc>
          <w:tcPr>
            <w:tcW w:w="2255" w:type="dxa"/>
            <w:tcBorders>
              <w:bottom w:val="single" w:sz="12" w:space="0" w:color="000000"/>
            </w:tcBorders>
            <w:tcMar>
              <w:bottom w:w="28" w:type="dxa"/>
            </w:tcMar>
            <w:vAlign w:val="center"/>
          </w:tcPr>
          <w:p>
            <w:pPr>
              <w:pStyle w:val="TableContents"/>
              <w:bidi w:val="0"/>
              <w:spacing w:before="0" w:after="283"/>
              <w:jc w:val="both"/>
              <w:rPr/>
            </w:pPr>
            <w:r>
              <w:rPr>
                <w:i/>
              </w:rPr>
              <w:t>(Dollars 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pPr>
            <w:r>
              <w:rPr>
                <w:b/>
              </w:rPr>
              <w:t xml:space="preserve">Amortized </w:t>
              <w:br/>
              <w:t>Cost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45" w:type="dxa"/>
            <w:tcBorders>
              <w:bottom w:val="single" w:sz="12" w:space="0" w:color="000000"/>
            </w:tcBorders>
            <w:tcMar>
              <w:bottom w:w="28" w:type="dxa"/>
            </w:tcMar>
            <w:vAlign w:val="center"/>
          </w:tcPr>
          <w:p>
            <w:pPr>
              <w:pStyle w:val="TableContents"/>
              <w:bidi w:val="0"/>
              <w:spacing w:before="0" w:after="283"/>
              <w:jc w:val="center"/>
              <w:rPr/>
            </w:pPr>
            <w:r>
              <w:rPr>
                <w:b/>
              </w:rPr>
              <w:t>% of Total Class</w:t>
              <w:br/>
              <w:t>of Financing</w:t>
              <w:br/>
              <w:t>Receivables</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rPr>
              <w:t>Amortized</w:t>
              <w:br/>
              <w:t>Cost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45" w:type="dxa"/>
            <w:tcBorders>
              <w:bottom w:val="single" w:sz="12" w:space="0" w:color="000000"/>
            </w:tcBorders>
            <w:tcMar>
              <w:bottom w:w="28" w:type="dxa"/>
            </w:tcMar>
            <w:vAlign w:val="center"/>
          </w:tcPr>
          <w:p>
            <w:pPr>
              <w:pStyle w:val="TableContents"/>
              <w:bidi w:val="0"/>
              <w:spacing w:before="0" w:after="283"/>
              <w:jc w:val="center"/>
              <w:rPr/>
            </w:pPr>
            <w:r>
              <w:rPr>
                <w:b/>
              </w:rPr>
              <w:t>% of Total Class</w:t>
              <w:br/>
              <w:t xml:space="preserve">of Financing </w:t>
              <w:br/>
              <w:t>Receivables</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255"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Residential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pPr>
            <w:r>
              <w:rPr/>
              <w:t>117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0.004</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0.001</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255" w:type="dxa"/>
            <w:tcBorders>
              <w:bottom w:val="double" w:sz="8" w:space="0" w:color="000000"/>
            </w:tcBorders>
            <w:tcMar>
              <w:bottom w:w="28" w:type="dxa"/>
            </w:tcMar>
            <w:vAlign w:val="center"/>
          </w:tcPr>
          <w:p>
            <w:pPr>
              <w:pStyle w:val="TableContents"/>
              <w:bidi w:val="0"/>
              <w:spacing w:before="0" w:after="283"/>
              <w:jc w:val="both"/>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190" w:type="dxa"/>
            <w:tcBorders>
              <w:bottom w:val="double" w:sz="8" w:space="0" w:color="000000"/>
            </w:tcBorders>
            <w:tcMar>
              <w:bottom w:w="28" w:type="dxa"/>
            </w:tcMar>
            <w:vAlign w:val="center"/>
          </w:tcPr>
          <w:p>
            <w:pPr>
              <w:pStyle w:val="TableContents"/>
              <w:bidi w:val="0"/>
              <w:spacing w:before="0" w:after="283"/>
              <w:jc w:val="right"/>
              <w:rPr/>
            </w:pPr>
            <w:r>
              <w:rPr/>
              <w:t>117</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45" w:type="dxa"/>
            <w:tcBorders>
              <w:bottom w:val="double" w:sz="8" w:space="0" w:color="000000"/>
            </w:tcBorders>
            <w:tcMar>
              <w:bottom w:w="28" w:type="dxa"/>
            </w:tcMar>
            <w:vAlign w:val="center"/>
          </w:tcPr>
          <w:p>
            <w:pPr>
              <w:pStyle w:val="TableContents"/>
              <w:bidi w:val="0"/>
              <w:spacing w:before="0" w:after="283"/>
              <w:jc w:val="right"/>
              <w:rPr/>
            </w:pPr>
            <w:r>
              <w:rPr/>
              <w:t> </w:t>
            </w:r>
          </w:p>
        </w:tc>
        <w:tc>
          <w:tcPr>
            <w:tcW w:w="24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28</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45" w:type="dxa"/>
            <w:tcBorders>
              <w:bottom w:val="double" w:sz="8" w:space="0" w:color="000000"/>
            </w:tcBorders>
            <w:tcMar>
              <w:bottom w:w="28" w:type="dxa"/>
            </w:tcMar>
            <w:vAlign w:val="center"/>
          </w:tcPr>
          <w:p>
            <w:pPr>
              <w:pStyle w:val="TableContents"/>
              <w:bidi w:val="0"/>
              <w:spacing w:before="0" w:after="283"/>
              <w:jc w:val="left"/>
              <w:rPr/>
            </w:pPr>
            <w:r>
              <w:rPr/>
              <w:t> </w:t>
            </w:r>
          </w:p>
        </w:tc>
        <w:tc>
          <w:tcPr>
            <w:tcW w:w="29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6333" w:type="dxa"/>
        <w:jc w:val="left"/>
        <w:tblInd w:w="0" w:type="dxa"/>
        <w:tblLayout w:type="fixed"/>
        <w:tblCellMar>
          <w:top w:w="0" w:type="dxa"/>
          <w:left w:w="0" w:type="dxa"/>
          <w:bottom w:w="0" w:type="dxa"/>
          <w:right w:w="0" w:type="dxa"/>
        </w:tblCellMar>
      </w:tblPr>
      <w:tblGrid>
        <w:gridCol w:w="2255"/>
        <w:gridCol w:w="154"/>
        <w:gridCol w:w="290"/>
        <w:gridCol w:w="1009"/>
        <w:gridCol w:w="154"/>
        <w:gridCol w:w="154"/>
        <w:gridCol w:w="230"/>
        <w:gridCol w:w="1514"/>
        <w:gridCol w:w="573"/>
      </w:tblGrid>
      <w:tr>
        <w:trPr/>
        <w:tc>
          <w:tcPr>
            <w:tcW w:w="225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both"/>
              <w:rPr/>
            </w:pPr>
            <w:r>
              <w:rPr/>
              <w:t> </w:t>
            </w:r>
          </w:p>
        </w:tc>
        <w:tc>
          <w:tcPr>
            <w:tcW w:w="4078" w:type="dxa"/>
            <w:gridSpan w:val="8"/>
            <w:tcBorders>
              <w:bottom w:val="single" w:sz="12" w:space="0" w:color="000000"/>
            </w:tcBorders>
            <w:tcMar>
              <w:bottom w:w="28" w:type="dxa"/>
            </w:tcMar>
            <w:vAlign w:val="center"/>
          </w:tcPr>
          <w:p>
            <w:pPr>
              <w:pStyle w:val="TableContents"/>
              <w:bidi w:val="0"/>
              <w:spacing w:before="0" w:after="283"/>
              <w:jc w:val="center"/>
              <w:rPr/>
            </w:pPr>
            <w:r>
              <w:rPr>
                <w:b/>
              </w:rPr>
              <w:t>Six Months Ended June 30, 2026</w:t>
            </w:r>
            <w:r>
              <w:rPr/>
              <w:t xml:space="preserve"> </w:t>
            </w:r>
          </w:p>
        </w:tc>
      </w:tr>
      <w:tr>
        <w:trPr/>
        <w:tc>
          <w:tcPr>
            <w:tcW w:w="2255" w:type="dxa"/>
            <w:tcBorders/>
            <w:vAlign w:val="center"/>
          </w:tcPr>
          <w:p>
            <w:pPr>
              <w:pStyle w:val="TableContents"/>
              <w:bidi w:val="0"/>
              <w:spacing w:before="0" w:after="283"/>
              <w:jc w:val="both"/>
              <w:rPr/>
            </w:pPr>
            <w:r>
              <w:rPr/>
              <w:t> </w:t>
            </w:r>
          </w:p>
        </w:tc>
        <w:tc>
          <w:tcPr>
            <w:tcW w:w="4078" w:type="dxa"/>
            <w:gridSpan w:val="8"/>
            <w:tcBorders>
              <w:bottom w:val="single" w:sz="12" w:space="0" w:color="000000"/>
            </w:tcBorders>
            <w:tcMar>
              <w:bottom w:w="28" w:type="dxa"/>
            </w:tcMar>
            <w:vAlign w:val="center"/>
          </w:tcPr>
          <w:p>
            <w:pPr>
              <w:pStyle w:val="TableContents"/>
              <w:bidi w:val="0"/>
              <w:spacing w:before="0" w:after="283"/>
              <w:jc w:val="center"/>
              <w:rPr/>
            </w:pPr>
            <w:r>
              <w:rPr>
                <w:b/>
              </w:rPr>
              <w:t>Term Extension</w:t>
            </w:r>
            <w:r>
              <w:rPr/>
              <w:t xml:space="preserve"> </w:t>
            </w:r>
          </w:p>
        </w:tc>
      </w:tr>
      <w:tr>
        <w:trPr/>
        <w:tc>
          <w:tcPr>
            <w:tcW w:w="2255" w:type="dxa"/>
            <w:tcBorders>
              <w:bottom w:val="single" w:sz="12" w:space="0" w:color="000000"/>
            </w:tcBorders>
            <w:tcMar>
              <w:bottom w:w="28" w:type="dxa"/>
            </w:tcMar>
            <w:vAlign w:val="center"/>
          </w:tcPr>
          <w:p>
            <w:pPr>
              <w:pStyle w:val="TableContents"/>
              <w:bidi w:val="0"/>
              <w:spacing w:before="0" w:after="283"/>
              <w:jc w:val="both"/>
              <w:rPr/>
            </w:pPr>
            <w:r>
              <w:rPr>
                <w:i/>
              </w:rPr>
              <w:t>(Dollars in thousands)</w:t>
            </w:r>
            <w:r>
              <w:rPr/>
              <w:t xml:space="preserve"> </w:t>
            </w:r>
          </w:p>
        </w:tc>
        <w:tc>
          <w:tcPr>
            <w:tcW w:w="15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9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Amortized </w:t>
              <w:br/>
              <w:t>Cost</w:t>
            </w:r>
            <w:r>
              <w:rPr/>
              <w:t xml:space="preserve"> </w:t>
            </w:r>
          </w:p>
        </w:tc>
        <w:tc>
          <w:tcPr>
            <w:tcW w:w="15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b/>
              </w:rPr>
              <w:t>% of Total Class</w:t>
              <w:br/>
              <w:t xml:space="preserve">of Financing </w:t>
              <w:br/>
              <w:t>Receivables</w:t>
            </w:r>
            <w:r>
              <w:rPr/>
              <w:t xml:space="preserve"> </w:t>
            </w:r>
          </w:p>
        </w:tc>
        <w:tc>
          <w:tcPr>
            <w:tcW w:w="573"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255" w:type="dxa"/>
            <w:tcBorders/>
            <w:vAlign w:val="center"/>
          </w:tcPr>
          <w:p>
            <w:pPr>
              <w:pStyle w:val="TableContents"/>
              <w:bidi w:val="0"/>
              <w:spacing w:before="0" w:after="283"/>
              <w:jc w:val="both"/>
              <w:rPr/>
            </w:pPr>
            <w:r>
              <w:rPr/>
              <w:t xml:space="preserve">Consumer loans: </w:t>
            </w:r>
          </w:p>
        </w:tc>
        <w:tc>
          <w:tcPr>
            <w:tcW w:w="15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r>
      <w:tr>
        <w:trPr/>
        <w:tc>
          <w:tcPr>
            <w:tcW w:w="2255"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Auto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0.001</w:t>
            </w:r>
          </w:p>
        </w:tc>
        <w:tc>
          <w:tcPr>
            <w:tcW w:w="57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r>
      <w:tr>
        <w:trPr/>
        <w:tc>
          <w:tcPr>
            <w:tcW w:w="2255" w:type="dxa"/>
            <w:tcBorders>
              <w:bottom w:val="single" w:sz="12" w:space="0" w:color="000000"/>
            </w:tcBorders>
            <w:tcMar>
              <w:bottom w:w="28" w:type="dxa"/>
            </w:tcMar>
            <w:vAlign w:val="center"/>
          </w:tcPr>
          <w:p>
            <w:pPr>
              <w:pStyle w:val="TableContents"/>
              <w:bidi w:val="0"/>
              <w:spacing w:before="0" w:after="283"/>
              <w:jc w:val="both"/>
              <w:rPr/>
            </w:pPr>
            <w:r>
              <w:rPr/>
              <w:t xml:space="preserve">Total consumer loans </w:t>
            </w:r>
          </w:p>
        </w:tc>
        <w:tc>
          <w:tcPr>
            <w:tcW w:w="154"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09" w:type="dxa"/>
            <w:tcBorders>
              <w:bottom w:val="single" w:sz="12" w:space="0" w:color="000000"/>
            </w:tcBorders>
            <w:tcMar>
              <w:bottom w:w="28" w:type="dxa"/>
            </w:tcMar>
            <w:vAlign w:val="center"/>
          </w:tcPr>
          <w:p>
            <w:pPr>
              <w:pStyle w:val="TableContents"/>
              <w:bidi w:val="0"/>
              <w:spacing w:before="0" w:after="283"/>
              <w:jc w:val="right"/>
              <w:rPr>
                <w:b/>
              </w:rPr>
            </w:pPr>
            <w:r>
              <w:rPr>
                <w:b/>
              </w:rPr>
              <w:t>9</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14" w:type="dxa"/>
            <w:tcBorders>
              <w:bottom w:val="single" w:sz="12" w:space="0" w:color="000000"/>
            </w:tcBorders>
            <w:tcMar>
              <w:bottom w:w="28" w:type="dxa"/>
            </w:tcMar>
            <w:vAlign w:val="center"/>
          </w:tcPr>
          <w:p>
            <w:pPr>
              <w:pStyle w:val="TableContents"/>
              <w:bidi w:val="0"/>
              <w:spacing w:before="0" w:after="283"/>
              <w:jc w:val="left"/>
              <w:rPr/>
            </w:pPr>
            <w:r>
              <w:rPr/>
              <w:t> </w:t>
            </w:r>
          </w:p>
        </w:tc>
        <w:tc>
          <w:tcPr>
            <w:tcW w:w="57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255"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Residential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1,237</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0.038</w:t>
            </w:r>
          </w:p>
        </w:tc>
        <w:tc>
          <w:tcPr>
            <w:tcW w:w="57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r>
      <w:tr>
        <w:trPr/>
        <w:tc>
          <w:tcPr>
            <w:tcW w:w="2255" w:type="dxa"/>
            <w:tcBorders>
              <w:bottom w:val="double" w:sz="8" w:space="0" w:color="000000"/>
            </w:tcBorders>
            <w:tcMar>
              <w:bottom w:w="28" w:type="dxa"/>
            </w:tcMar>
            <w:vAlign w:val="center"/>
          </w:tcPr>
          <w:p>
            <w:pPr>
              <w:pStyle w:val="TableContents"/>
              <w:bidi w:val="0"/>
              <w:spacing w:before="0" w:after="283"/>
              <w:jc w:val="both"/>
              <w:rPr/>
            </w:pPr>
            <w:r>
              <w:rPr/>
              <w:t xml:space="preserve">Total </w:t>
            </w:r>
          </w:p>
        </w:tc>
        <w:tc>
          <w:tcPr>
            <w:tcW w:w="154" w:type="dxa"/>
            <w:tcBorders>
              <w:bottom w:val="double" w:sz="8" w:space="0" w:color="000000"/>
            </w:tcBorders>
            <w:tcMar>
              <w:bottom w:w="28" w:type="dxa"/>
            </w:tcMar>
            <w:vAlign w:val="center"/>
          </w:tcPr>
          <w:p>
            <w:pPr>
              <w:pStyle w:val="TableContents"/>
              <w:bidi w:val="0"/>
              <w:spacing w:before="0" w:after="283"/>
              <w:jc w:val="right"/>
              <w:rPr/>
            </w:pPr>
            <w:r>
              <w:rPr/>
              <w:t> </w:t>
            </w:r>
          </w:p>
        </w:tc>
        <w:tc>
          <w:tcPr>
            <w:tcW w:w="29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09" w:type="dxa"/>
            <w:tcBorders>
              <w:bottom w:val="double" w:sz="8" w:space="0" w:color="000000"/>
            </w:tcBorders>
            <w:tcMar>
              <w:bottom w:w="28" w:type="dxa"/>
            </w:tcMar>
            <w:vAlign w:val="center"/>
          </w:tcPr>
          <w:p>
            <w:pPr>
              <w:pStyle w:val="TableContents"/>
              <w:bidi w:val="0"/>
              <w:spacing w:before="0" w:after="283"/>
              <w:jc w:val="right"/>
              <w:rPr>
                <w:b/>
              </w:rPr>
            </w:pPr>
            <w:r>
              <w:rPr>
                <w:b/>
              </w:rPr>
              <w:t>1,246</w:t>
            </w:r>
          </w:p>
        </w:tc>
        <w:tc>
          <w:tcPr>
            <w:tcW w:w="154" w:type="dxa"/>
            <w:tcBorders>
              <w:bottom w:val="double" w:sz="8" w:space="0" w:color="000000"/>
            </w:tcBorders>
            <w:tcMar>
              <w:bottom w:w="28" w:type="dxa"/>
            </w:tcMar>
            <w:vAlign w:val="center"/>
          </w:tcPr>
          <w:p>
            <w:pPr>
              <w:pStyle w:val="TableContents"/>
              <w:bidi w:val="0"/>
              <w:spacing w:before="0" w:after="283"/>
              <w:jc w:val="left"/>
              <w:rPr/>
            </w:pPr>
            <w:r>
              <w:rPr/>
              <w:t> </w:t>
            </w:r>
          </w:p>
        </w:tc>
        <w:tc>
          <w:tcPr>
            <w:tcW w:w="154" w:type="dxa"/>
            <w:tcBorders>
              <w:bottom w:val="double" w:sz="8" w:space="0" w:color="000000"/>
            </w:tcBorders>
            <w:tcMar>
              <w:bottom w:w="28" w:type="dxa"/>
            </w:tcMar>
            <w:vAlign w:val="center"/>
          </w:tcPr>
          <w:p>
            <w:pPr>
              <w:pStyle w:val="TableContents"/>
              <w:bidi w:val="0"/>
              <w:spacing w:before="0" w:after="283"/>
              <w:jc w:val="left"/>
              <w:rPr/>
            </w:pPr>
            <w:r>
              <w:rPr/>
              <w:t> </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c>
          <w:tcPr>
            <w:tcW w:w="1514" w:type="dxa"/>
            <w:tcBorders>
              <w:bottom w:val="double" w:sz="8" w:space="0" w:color="000000"/>
            </w:tcBorders>
            <w:tcMar>
              <w:bottom w:w="28" w:type="dxa"/>
            </w:tcMar>
            <w:vAlign w:val="center"/>
          </w:tcPr>
          <w:p>
            <w:pPr>
              <w:pStyle w:val="TableContents"/>
              <w:bidi w:val="0"/>
              <w:spacing w:before="0" w:after="283"/>
              <w:jc w:val="left"/>
              <w:rPr/>
            </w:pPr>
            <w:r>
              <w:rPr/>
              <w:t> </w:t>
            </w:r>
          </w:p>
        </w:tc>
        <w:tc>
          <w:tcPr>
            <w:tcW w:w="573"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9288" w:type="dxa"/>
        <w:jc w:val="left"/>
        <w:tblInd w:w="0" w:type="dxa"/>
        <w:tblLayout w:type="fixed"/>
        <w:tblCellMar>
          <w:top w:w="0" w:type="dxa"/>
          <w:left w:w="0" w:type="dxa"/>
          <w:bottom w:w="0" w:type="dxa"/>
          <w:right w:w="0" w:type="dxa"/>
        </w:tblCellMar>
      </w:tblPr>
      <w:tblGrid>
        <w:gridCol w:w="2255"/>
        <w:gridCol w:w="90"/>
        <w:gridCol w:w="348"/>
        <w:gridCol w:w="841"/>
        <w:gridCol w:w="90"/>
        <w:gridCol w:w="90"/>
        <w:gridCol w:w="230"/>
        <w:gridCol w:w="1514"/>
        <w:gridCol w:w="245"/>
        <w:gridCol w:w="92"/>
        <w:gridCol w:w="417"/>
        <w:gridCol w:w="713"/>
        <w:gridCol w:w="92"/>
        <w:gridCol w:w="92"/>
        <w:gridCol w:w="92"/>
        <w:gridCol w:w="1790"/>
        <w:gridCol w:w="297"/>
      </w:tblGrid>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both"/>
              <w:rPr/>
            </w:pPr>
            <w:r>
              <w:rPr/>
              <w:t> </w:t>
            </w:r>
          </w:p>
        </w:tc>
        <w:tc>
          <w:tcPr>
            <w:tcW w:w="7033" w:type="dxa"/>
            <w:gridSpan w:val="16"/>
            <w:tcBorders>
              <w:bottom w:val="single" w:sz="12" w:space="0" w:color="000000"/>
            </w:tcBorders>
            <w:tcMar>
              <w:bottom w:w="28" w:type="dxa"/>
            </w:tcMar>
            <w:vAlign w:val="center"/>
          </w:tcPr>
          <w:p>
            <w:pPr>
              <w:pStyle w:val="TableContents"/>
              <w:bidi w:val="0"/>
              <w:spacing w:before="0" w:after="283"/>
              <w:jc w:val="center"/>
              <w:rPr/>
            </w:pPr>
            <w:r>
              <w:rPr>
                <w:b/>
              </w:rPr>
              <w:t>Six Months Ended June 30, 2025</w:t>
            </w:r>
            <w:r>
              <w:rPr/>
              <w:t xml:space="preserve"> </w:t>
            </w:r>
          </w:p>
        </w:tc>
      </w:tr>
      <w:tr>
        <w:trPr/>
        <w:tc>
          <w:tcPr>
            <w:tcW w:w="2255" w:type="dxa"/>
            <w:tcBorders/>
            <w:vAlign w:val="center"/>
          </w:tcPr>
          <w:p>
            <w:pPr>
              <w:pStyle w:val="TableContents"/>
              <w:bidi w:val="0"/>
              <w:spacing w:before="0" w:after="283"/>
              <w:jc w:val="both"/>
              <w:rPr/>
            </w:pPr>
            <w:r>
              <w:rPr/>
              <w:t> </w:t>
            </w:r>
          </w:p>
        </w:tc>
        <w:tc>
          <w:tcPr>
            <w:tcW w:w="3448" w:type="dxa"/>
            <w:gridSpan w:val="8"/>
            <w:tcBorders>
              <w:bottom w:val="single" w:sz="12" w:space="0" w:color="000000"/>
            </w:tcBorders>
            <w:tcMar>
              <w:bottom w:w="28" w:type="dxa"/>
            </w:tcMar>
            <w:vAlign w:val="center"/>
          </w:tcPr>
          <w:p>
            <w:pPr>
              <w:pStyle w:val="TableContents"/>
              <w:bidi w:val="0"/>
              <w:spacing w:before="0" w:after="283"/>
              <w:jc w:val="center"/>
              <w:rPr/>
            </w:pPr>
            <w:r>
              <w:rPr>
                <w:b/>
              </w:rPr>
              <w:t>Term Extension</w:t>
            </w:r>
            <w:r>
              <w:rPr/>
              <w:t xml:space="preserve"> </w:t>
            </w:r>
          </w:p>
        </w:tc>
        <w:tc>
          <w:tcPr>
            <w:tcW w:w="3585" w:type="dxa"/>
            <w:gridSpan w:val="8"/>
            <w:tcBorders>
              <w:bottom w:val="single" w:sz="12" w:space="0" w:color="000000"/>
            </w:tcBorders>
            <w:tcMar>
              <w:bottom w:w="28" w:type="dxa"/>
            </w:tcMar>
            <w:vAlign w:val="center"/>
          </w:tcPr>
          <w:p>
            <w:pPr>
              <w:pStyle w:val="TableContents"/>
              <w:bidi w:val="0"/>
              <w:spacing w:before="0" w:after="283"/>
              <w:jc w:val="center"/>
              <w:rPr/>
            </w:pPr>
            <w:r>
              <w:rPr>
                <w:b/>
              </w:rPr>
              <w:t>Combination - Term</w:t>
              <w:br/>
              <w:t>Extension and Interest Rate</w:t>
              <w:br/>
              <w:t>Reduction</w:t>
            </w:r>
            <w:r>
              <w:rPr/>
              <w:t xml:space="preserve"> </w:t>
            </w:r>
          </w:p>
        </w:tc>
      </w:tr>
      <w:tr>
        <w:trPr/>
        <w:tc>
          <w:tcPr>
            <w:tcW w:w="2255" w:type="dxa"/>
            <w:tcBorders>
              <w:bottom w:val="single" w:sz="12" w:space="0" w:color="000000"/>
            </w:tcBorders>
            <w:tcMar>
              <w:bottom w:w="28" w:type="dxa"/>
            </w:tcMar>
            <w:vAlign w:val="center"/>
          </w:tcPr>
          <w:p>
            <w:pPr>
              <w:pStyle w:val="TableContents"/>
              <w:bidi w:val="0"/>
              <w:spacing w:before="0" w:after="283"/>
              <w:jc w:val="both"/>
              <w:rPr/>
            </w:pPr>
            <w:r>
              <w:rPr>
                <w:i/>
              </w:rPr>
              <w:t>(Dollars 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Amortized </w:t>
              <w:br/>
              <w:t>Cost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b/>
              </w:rPr>
              <w:t>% of Total Class</w:t>
              <w:br/>
              <w:t>of Financing</w:t>
              <w:br/>
              <w:t>Receivables</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pPr>
            <w:r>
              <w:rPr>
                <w:b/>
              </w:rPr>
              <w:t>Amortized</w:t>
              <w:br/>
              <w:t>Cost</w:t>
            </w:r>
            <w:r>
              <w:rPr/>
              <w:t xml:space="preserve">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90" w:type="dxa"/>
            <w:tcBorders>
              <w:bottom w:val="single" w:sz="12" w:space="0" w:color="000000"/>
            </w:tcBorders>
            <w:tcMar>
              <w:bottom w:w="28" w:type="dxa"/>
            </w:tcMar>
            <w:vAlign w:val="center"/>
          </w:tcPr>
          <w:p>
            <w:pPr>
              <w:pStyle w:val="TableContents"/>
              <w:bidi w:val="0"/>
              <w:spacing w:before="0" w:after="283"/>
              <w:jc w:val="center"/>
              <w:rPr/>
            </w:pPr>
            <w:r>
              <w:rPr>
                <w:b/>
              </w:rPr>
              <w:t>% of Total Class</w:t>
              <w:br/>
              <w:t xml:space="preserve">of Financing </w:t>
              <w:br/>
              <w:t>Receivables</w:t>
            </w:r>
            <w:r>
              <w:rPr/>
              <w:t xml:space="preserve"> </w:t>
            </w:r>
          </w:p>
        </w:tc>
        <w:tc>
          <w:tcPr>
            <w:tcW w:w="297"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255"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Residential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894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4" w:type="dxa"/>
            <w:tcBorders>
              <w:bottom w:val="single" w:sz="12" w:space="0" w:color="000000"/>
            </w:tcBorders>
            <w:shd w:fill="CCEEFF" w:val="clear"/>
            <w:tcMar>
              <w:bottom w:w="28" w:type="dxa"/>
            </w:tcMar>
            <w:vAlign w:val="center"/>
          </w:tcPr>
          <w:p>
            <w:pPr>
              <w:pStyle w:val="TableContents"/>
              <w:bidi w:val="0"/>
              <w:spacing w:before="0" w:after="283"/>
              <w:jc w:val="right"/>
              <w:rPr/>
            </w:pPr>
            <w:r>
              <w:rPr/>
              <w:t>0.028</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1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3"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90" w:type="dxa"/>
            <w:tcBorders>
              <w:bottom w:val="single" w:sz="12" w:space="0" w:color="000000"/>
            </w:tcBorders>
            <w:shd w:fill="CCEEFF" w:val="clear"/>
            <w:tcMar>
              <w:bottom w:w="28" w:type="dxa"/>
            </w:tcMar>
            <w:vAlign w:val="center"/>
          </w:tcPr>
          <w:p>
            <w:pPr>
              <w:pStyle w:val="TableContents"/>
              <w:bidi w:val="0"/>
              <w:spacing w:before="0" w:after="283"/>
              <w:jc w:val="right"/>
              <w:rPr/>
            </w:pPr>
            <w:r>
              <w:rPr/>
              <w:t>0.001</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255" w:type="dxa"/>
            <w:tcBorders>
              <w:bottom w:val="double" w:sz="8" w:space="0" w:color="000000"/>
            </w:tcBorders>
            <w:tcMar>
              <w:bottom w:w="28" w:type="dxa"/>
            </w:tcMar>
            <w:vAlign w:val="center"/>
          </w:tcPr>
          <w:p>
            <w:pPr>
              <w:pStyle w:val="TableContents"/>
              <w:bidi w:val="0"/>
              <w:spacing w:before="0" w:after="283"/>
              <w:jc w:val="both"/>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348" w:type="dxa"/>
            <w:tcBorders>
              <w:bottom w:val="double" w:sz="8" w:space="0" w:color="000000"/>
            </w:tcBorders>
            <w:tcMar>
              <w:bottom w:w="28" w:type="dxa"/>
            </w:tcMar>
            <w:vAlign w:val="center"/>
          </w:tcPr>
          <w:p>
            <w:pPr>
              <w:pStyle w:val="TableContents"/>
              <w:bidi w:val="0"/>
              <w:spacing w:before="0" w:after="283"/>
              <w:jc w:val="left"/>
              <w:rPr/>
            </w:pPr>
            <w:r>
              <w:rPr/>
              <w:t>$</w:t>
            </w:r>
          </w:p>
        </w:tc>
        <w:tc>
          <w:tcPr>
            <w:tcW w:w="841" w:type="dxa"/>
            <w:tcBorders>
              <w:bottom w:val="double" w:sz="8" w:space="0" w:color="000000"/>
            </w:tcBorders>
            <w:tcMar>
              <w:bottom w:w="28" w:type="dxa"/>
            </w:tcMar>
            <w:vAlign w:val="center"/>
          </w:tcPr>
          <w:p>
            <w:pPr>
              <w:pStyle w:val="TableContents"/>
              <w:bidi w:val="0"/>
              <w:spacing w:before="0" w:after="283"/>
              <w:jc w:val="right"/>
              <w:rPr/>
            </w:pPr>
            <w:r>
              <w:rPr/>
              <w:t>894</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c>
          <w:tcPr>
            <w:tcW w:w="1514" w:type="dxa"/>
            <w:tcBorders>
              <w:bottom w:val="double" w:sz="8" w:space="0" w:color="000000"/>
            </w:tcBorders>
            <w:tcMar>
              <w:bottom w:w="28" w:type="dxa"/>
            </w:tcMar>
            <w:vAlign w:val="center"/>
          </w:tcPr>
          <w:p>
            <w:pPr>
              <w:pStyle w:val="TableContents"/>
              <w:bidi w:val="0"/>
              <w:spacing w:before="0" w:after="283"/>
              <w:jc w:val="right"/>
              <w:rPr/>
            </w:pPr>
            <w:r>
              <w:rPr/>
              <w:t> </w:t>
            </w:r>
          </w:p>
        </w:tc>
        <w:tc>
          <w:tcPr>
            <w:tcW w:w="245" w:type="dxa"/>
            <w:tcBorders>
              <w:bottom w:val="double" w:sz="8" w:space="0" w:color="000000"/>
            </w:tcBorders>
            <w:tcMar>
              <w:bottom w:w="28" w:type="dxa"/>
            </w:tcMar>
            <w:vAlign w:val="center"/>
          </w:tcPr>
          <w:p>
            <w:pPr>
              <w:pStyle w:val="TableContents"/>
              <w:bidi w:val="0"/>
              <w:spacing w:before="0" w:after="283"/>
              <w:jc w:val="left"/>
              <w:rPr/>
            </w:pPr>
            <w:r>
              <w:rPr/>
              <w:t> </w:t>
            </w:r>
          </w:p>
        </w:tc>
        <w:tc>
          <w:tcPr>
            <w:tcW w:w="92" w:type="dxa"/>
            <w:tcBorders>
              <w:bottom w:val="double" w:sz="8" w:space="0" w:color="000000"/>
            </w:tcBorders>
            <w:tcMar>
              <w:bottom w:w="28" w:type="dxa"/>
            </w:tcMar>
            <w:vAlign w:val="center"/>
          </w:tcPr>
          <w:p>
            <w:pPr>
              <w:pStyle w:val="TableContents"/>
              <w:bidi w:val="0"/>
              <w:spacing w:before="0" w:after="283"/>
              <w:jc w:val="left"/>
              <w:rPr/>
            </w:pPr>
            <w:r>
              <w:rPr/>
              <w:t> </w:t>
            </w:r>
          </w:p>
        </w:tc>
        <w:tc>
          <w:tcPr>
            <w:tcW w:w="417" w:type="dxa"/>
            <w:tcBorders>
              <w:bottom w:val="double" w:sz="8" w:space="0" w:color="000000"/>
            </w:tcBorders>
            <w:tcMar>
              <w:bottom w:w="28" w:type="dxa"/>
            </w:tcMar>
            <w:vAlign w:val="center"/>
          </w:tcPr>
          <w:p>
            <w:pPr>
              <w:pStyle w:val="TableContents"/>
              <w:bidi w:val="0"/>
              <w:spacing w:before="0" w:after="283"/>
              <w:jc w:val="left"/>
              <w:rPr/>
            </w:pPr>
            <w:r>
              <w:rPr/>
              <w:t>$</w:t>
            </w:r>
          </w:p>
        </w:tc>
        <w:tc>
          <w:tcPr>
            <w:tcW w:w="713" w:type="dxa"/>
            <w:tcBorders>
              <w:bottom w:val="double" w:sz="8" w:space="0" w:color="000000"/>
            </w:tcBorders>
            <w:tcMar>
              <w:bottom w:w="28" w:type="dxa"/>
            </w:tcMar>
            <w:vAlign w:val="center"/>
          </w:tcPr>
          <w:p>
            <w:pPr>
              <w:pStyle w:val="TableContents"/>
              <w:bidi w:val="0"/>
              <w:spacing w:before="0" w:after="283"/>
              <w:jc w:val="right"/>
              <w:rPr/>
            </w:pPr>
            <w:r>
              <w:rPr/>
              <w:t>28</w:t>
            </w:r>
          </w:p>
        </w:tc>
        <w:tc>
          <w:tcPr>
            <w:tcW w:w="92" w:type="dxa"/>
            <w:tcBorders>
              <w:bottom w:val="double" w:sz="8" w:space="0" w:color="000000"/>
            </w:tcBorders>
            <w:tcMar>
              <w:bottom w:w="28" w:type="dxa"/>
            </w:tcMar>
            <w:vAlign w:val="center"/>
          </w:tcPr>
          <w:p>
            <w:pPr>
              <w:pStyle w:val="TableContents"/>
              <w:bidi w:val="0"/>
              <w:spacing w:before="0" w:after="283"/>
              <w:jc w:val="left"/>
              <w:rPr/>
            </w:pPr>
            <w:r>
              <w:rPr/>
              <w:t> </w:t>
            </w:r>
          </w:p>
        </w:tc>
        <w:tc>
          <w:tcPr>
            <w:tcW w:w="92" w:type="dxa"/>
            <w:tcBorders>
              <w:bottom w:val="double" w:sz="8" w:space="0" w:color="000000"/>
            </w:tcBorders>
            <w:tcMar>
              <w:bottom w:w="28" w:type="dxa"/>
            </w:tcMar>
            <w:vAlign w:val="center"/>
          </w:tcPr>
          <w:p>
            <w:pPr>
              <w:pStyle w:val="TableContents"/>
              <w:bidi w:val="0"/>
              <w:spacing w:before="0" w:after="283"/>
              <w:jc w:val="left"/>
              <w:rPr/>
            </w:pPr>
            <w:r>
              <w:rPr/>
              <w:t> </w:t>
            </w:r>
          </w:p>
        </w:tc>
        <w:tc>
          <w:tcPr>
            <w:tcW w:w="92" w:type="dxa"/>
            <w:tcBorders>
              <w:bottom w:val="double" w:sz="8" w:space="0" w:color="000000"/>
            </w:tcBorders>
            <w:tcMar>
              <w:bottom w:w="28" w:type="dxa"/>
            </w:tcMar>
            <w:vAlign w:val="center"/>
          </w:tcPr>
          <w:p>
            <w:pPr>
              <w:pStyle w:val="TableContents"/>
              <w:bidi w:val="0"/>
              <w:spacing w:before="0" w:after="283"/>
              <w:jc w:val="left"/>
              <w:rPr/>
            </w:pPr>
            <w:r>
              <w:rPr/>
              <w:t> </w:t>
            </w:r>
          </w:p>
        </w:tc>
        <w:tc>
          <w:tcPr>
            <w:tcW w:w="1790" w:type="dxa"/>
            <w:tcBorders>
              <w:bottom w:val="double" w:sz="8" w:space="0" w:color="000000"/>
            </w:tcBorders>
            <w:tcMar>
              <w:bottom w:w="28" w:type="dxa"/>
            </w:tcMar>
            <w:vAlign w:val="center"/>
          </w:tcPr>
          <w:p>
            <w:pPr>
              <w:pStyle w:val="TableContents"/>
              <w:bidi w:val="0"/>
              <w:spacing w:before="0" w:after="283"/>
              <w:jc w:val="left"/>
              <w:rPr/>
            </w:pPr>
            <w:r>
              <w:rPr/>
              <w:t> </w:t>
            </w:r>
          </w:p>
        </w:tc>
        <w:tc>
          <w:tcPr>
            <w:tcW w:w="297"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describe the financial effect of the modifications made to borrowers experiencing financial difficulties: </w:t>
      </w:r>
    </w:p>
    <w:p>
      <w:pPr>
        <w:pStyle w:val="TextBody"/>
        <w:bidi w:val="0"/>
        <w:spacing w:before="0" w:after="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1265"/>
        <w:gridCol w:w="8940"/>
      </w:tblGrid>
      <w:tr>
        <w:trPr/>
        <w:tc>
          <w:tcPr>
            <w:tcW w:w="1265"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 </w:t>
            </w:r>
          </w:p>
        </w:tc>
      </w:tr>
      <w:tr>
        <w:trPr/>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8940"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Three Months Ended June 30, 2026</w:t>
            </w:r>
            <w:r>
              <w:rPr/>
              <w:t xml:space="preserve"> </w:t>
            </w:r>
          </w:p>
        </w:tc>
      </w:tr>
      <w:tr>
        <w:trPr/>
        <w:tc>
          <w:tcPr>
            <w:tcW w:w="1265"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Loan Type</w:t>
            </w:r>
            <w:r>
              <w:rPr/>
              <w:t xml:space="preserve"> </w:t>
            </w:r>
          </w:p>
        </w:tc>
        <w:tc>
          <w:tcPr>
            <w:tcW w:w="8940"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Term Extension</w:t>
            </w:r>
            <w:r>
              <w:rPr/>
              <w:t xml:space="preserve"> </w:t>
            </w:r>
          </w:p>
        </w:tc>
      </w:tr>
      <w:tr>
        <w:trPr/>
        <w:tc>
          <w:tcPr>
            <w:tcW w:w="126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Auto </w:t>
            </w:r>
          </w:p>
        </w:tc>
        <w:tc>
          <w:tcPr>
            <w:tcW w:w="8940"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b/>
              </w:rPr>
              <w:t>Added a weighted-average 1.8 years to the life of loans, which reduced monthly payment amounts for the borrowers</w:t>
            </w:r>
            <w:r>
              <w:rPr/>
              <w:t xml:space="preserve"> </w:t>
            </w:r>
          </w:p>
        </w:tc>
      </w:tr>
      <w:tr>
        <w:trPr/>
        <w:tc>
          <w:tcPr>
            <w:tcW w:w="126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Residential </w:t>
            </w:r>
          </w:p>
        </w:tc>
        <w:tc>
          <w:tcPr>
            <w:tcW w:w="8940"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Added a weighted-average 8.0 years to the life of loans, which reduced monthly payment amounts for the borrowers</w:t>
            </w:r>
            <w:r>
              <w:rPr/>
              <w:t xml:space="preserve"> </w:t>
            </w:r>
          </w:p>
        </w:tc>
      </w:tr>
    </w:tbl>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1213"/>
        <w:gridCol w:w="4757"/>
        <w:gridCol w:w="4235"/>
      </w:tblGrid>
      <w:tr>
        <w:trPr/>
        <w:tc>
          <w:tcPr>
            <w:tcW w:w="1213" w:type="dxa"/>
            <w:tcBorders/>
            <w:vAlign w:val="center"/>
          </w:tcPr>
          <w:p>
            <w:pPr>
              <w:pStyle w:val="TableContents"/>
              <w:bidi w:val="0"/>
              <w:spacing w:before="0" w:after="283"/>
              <w:jc w:val="left"/>
              <w:rPr/>
            </w:pPr>
            <w:r>
              <w:rPr/>
              <w:t> </w:t>
            </w:r>
          </w:p>
        </w:tc>
        <w:tc>
          <w:tcPr>
            <w:tcW w:w="4757"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9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Three Months Ended June 30, 2025</w:t>
            </w:r>
            <w:r>
              <w:rPr/>
              <w:t xml:space="preserve"> </w:t>
            </w:r>
          </w:p>
        </w:tc>
      </w:tr>
      <w:tr>
        <w:trPr/>
        <w:tc>
          <w:tcPr>
            <w:tcW w:w="1213"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Loan Type</w:t>
            </w:r>
            <w:r>
              <w:rPr/>
              <w:t xml:space="preserve"> </w:t>
            </w:r>
          </w:p>
        </w:tc>
        <w:tc>
          <w:tcPr>
            <w:tcW w:w="4757"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Term Extension</w:t>
            </w:r>
            <w:r>
              <w:rPr/>
              <w:t xml:space="preserve"> </w:t>
            </w:r>
          </w:p>
        </w:tc>
        <w:tc>
          <w:tcPr>
            <w:tcW w:w="4235" w:type="dxa"/>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 xml:space="preserve">Interest Rate Reduction </w:t>
            </w:r>
          </w:p>
        </w:tc>
      </w:tr>
      <w:tr>
        <w:trPr/>
        <w:tc>
          <w:tcPr>
            <w:tcW w:w="1213"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Residential </w:t>
            </w:r>
          </w:p>
        </w:tc>
        <w:tc>
          <w:tcPr>
            <w:tcW w:w="4757"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Added a weighted-average 9.8 years to the life of loans, which reduced monthly payment amounts for the borrowers </w:t>
            </w:r>
          </w:p>
        </w:tc>
        <w:tc>
          <w:tcPr>
            <w:tcW w:w="423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Reduced interest by weighted average of 0.62%, which reduced the monthly payment amount for the borrowers </w:t>
            </w:r>
          </w:p>
        </w:tc>
      </w:tr>
    </w:tbl>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1265"/>
        <w:gridCol w:w="8940"/>
      </w:tblGrid>
      <w:tr>
        <w:trPr/>
        <w:tc>
          <w:tcPr>
            <w:tcW w:w="1265"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 </w:t>
            </w:r>
          </w:p>
        </w:tc>
      </w:tr>
      <w:tr>
        <w:trPr/>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40"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Six Months Ended June 30, 2026</w:t>
            </w:r>
            <w:r>
              <w:rPr/>
              <w:t xml:space="preserve"> </w:t>
            </w:r>
          </w:p>
        </w:tc>
      </w:tr>
      <w:tr>
        <w:trPr/>
        <w:tc>
          <w:tcPr>
            <w:tcW w:w="1265"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Loan Type</w:t>
            </w:r>
            <w:r>
              <w:rPr/>
              <w:t xml:space="preserve"> </w:t>
            </w:r>
          </w:p>
        </w:tc>
        <w:tc>
          <w:tcPr>
            <w:tcW w:w="8940"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Term Extension</w:t>
            </w:r>
            <w:r>
              <w:rPr/>
              <w:t xml:space="preserve"> </w:t>
            </w:r>
          </w:p>
        </w:tc>
      </w:tr>
      <w:tr>
        <w:trPr/>
        <w:tc>
          <w:tcPr>
            <w:tcW w:w="126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Auto </w:t>
            </w:r>
          </w:p>
        </w:tc>
        <w:tc>
          <w:tcPr>
            <w:tcW w:w="8940"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b/>
              </w:rPr>
              <w:t>Added a weighted-average 1.8 years to the life of loans, which reduced monthly payment amounts for the borrowers</w:t>
            </w:r>
            <w:r>
              <w:rPr/>
              <w:t xml:space="preserve"> </w:t>
            </w:r>
          </w:p>
        </w:tc>
      </w:tr>
      <w:tr>
        <w:trPr/>
        <w:tc>
          <w:tcPr>
            <w:tcW w:w="1265"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Residential </w:t>
            </w:r>
          </w:p>
        </w:tc>
        <w:tc>
          <w:tcPr>
            <w:tcW w:w="8940"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Added a weighted-average 5.4 years to the life of loans, which reduced monthly payment amounts for the borrowers</w:t>
            </w:r>
            <w:r>
              <w:rPr/>
              <w:t xml:space="preserve"> </w:t>
            </w:r>
          </w:p>
        </w:tc>
      </w:tr>
    </w:tbl>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1213"/>
        <w:gridCol w:w="4757"/>
        <w:gridCol w:w="4235"/>
      </w:tblGrid>
      <w:tr>
        <w:trPr/>
        <w:tc>
          <w:tcPr>
            <w:tcW w:w="1213" w:type="dxa"/>
            <w:tcBorders/>
            <w:vAlign w:val="center"/>
          </w:tcPr>
          <w:p>
            <w:pPr>
              <w:pStyle w:val="TableContents"/>
              <w:bidi w:val="0"/>
              <w:spacing w:before="0" w:after="283"/>
              <w:jc w:val="left"/>
              <w:rPr/>
            </w:pPr>
            <w:r>
              <w:rPr/>
              <w:t> </w:t>
            </w:r>
          </w:p>
        </w:tc>
        <w:tc>
          <w:tcPr>
            <w:tcW w:w="4757"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92"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Six Months Ended June 30, 2025</w:t>
            </w:r>
            <w:r>
              <w:rPr/>
              <w:t xml:space="preserve"> </w:t>
            </w:r>
          </w:p>
        </w:tc>
      </w:tr>
      <w:tr>
        <w:trPr/>
        <w:tc>
          <w:tcPr>
            <w:tcW w:w="1213"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Loan Type</w:t>
            </w:r>
            <w:r>
              <w:rPr/>
              <w:t xml:space="preserve"> </w:t>
            </w:r>
          </w:p>
        </w:tc>
        <w:tc>
          <w:tcPr>
            <w:tcW w:w="4757"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Term Extension</w:t>
            </w:r>
            <w:r>
              <w:rPr/>
              <w:t xml:space="preserve"> </w:t>
            </w:r>
          </w:p>
        </w:tc>
        <w:tc>
          <w:tcPr>
            <w:tcW w:w="4235" w:type="dxa"/>
            <w:tcBorders>
              <w:bottom w:val="single" w:sz="12" w:space="0" w:color="000000"/>
            </w:tcBorders>
            <w:tcMar>
              <w:top w:w="0" w:type="dxa"/>
              <w:left w:w="0" w:type="dxa"/>
              <w:right w:w="0" w:type="dxa"/>
            </w:tcMar>
            <w:vAlign w:val="center"/>
          </w:tcPr>
          <w:p>
            <w:pPr>
              <w:pStyle w:val="TableContents"/>
              <w:bidi w:val="0"/>
              <w:spacing w:before="0" w:after="283"/>
              <w:jc w:val="center"/>
              <w:rPr>
                <w:b/>
              </w:rPr>
            </w:pPr>
            <w:r>
              <w:rPr>
                <w:b/>
              </w:rPr>
              <w:t xml:space="preserve">Interest Rate Reduction </w:t>
            </w:r>
          </w:p>
        </w:tc>
      </w:tr>
      <w:tr>
        <w:trPr/>
        <w:tc>
          <w:tcPr>
            <w:tcW w:w="1213"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Residential </w:t>
            </w:r>
          </w:p>
        </w:tc>
        <w:tc>
          <w:tcPr>
            <w:tcW w:w="4757"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Added a weighted-average 7.5 years to the life of loans, which reduced monthly payment amounts for the borrowers </w:t>
            </w:r>
          </w:p>
        </w:tc>
        <w:tc>
          <w:tcPr>
            <w:tcW w:w="4235" w:type="dxa"/>
            <w:tcBorders>
              <w:bottom w:val="single" w:sz="12" w:space="0" w:color="000000"/>
            </w:tcBorders>
            <w:shd w:fill="CCEEFF" w:val="clear"/>
            <w:tcMar>
              <w:top w:w="0" w:type="dxa"/>
              <w:left w:w="0" w:type="dxa"/>
              <w:right w:w="0" w:type="dxa"/>
            </w:tcMar>
            <w:vAlign w:val="center"/>
          </w:tcPr>
          <w:p>
            <w:pPr>
              <w:pStyle w:val="TableContents"/>
              <w:bidi w:val="0"/>
              <w:spacing w:before="0" w:after="0"/>
              <w:jc w:val="left"/>
              <w:rPr/>
            </w:pPr>
            <w:r>
              <w:rPr/>
              <w:t xml:space="preserve">Reduced interest by weighted average of 0.62%, which reduced the monthly payment amount for the borrowers </w:t>
            </w:r>
          </w:p>
        </w:tc>
      </w:tr>
    </w:tbl>
    <w:p>
      <w:pPr>
        <w:pStyle w:val="TextBody"/>
        <w:bidi w:val="0"/>
        <w:spacing w:before="0" w:after="0"/>
        <w:jc w:val="center"/>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were no financing receivables that had a payment default during the three and six months ended June 30, 2026 that were modified to borrowers experiencing financial difficulty in the twelve months prior to the default. During the three and six months ended June 30, 2025, there were $11 thousand and $69 thousand, respectively, of residential financing receivables with term extension modifications that had payment defaults during the period, that were modified to borrowers experiencing financial difficulty in the twelve months prior to the default.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depict the performance of loans that have been modified to borrowers experiencing financial difficulty that were modified in the prior twelve months: </w:t>
      </w:r>
    </w:p>
    <w:p>
      <w:pPr>
        <w:pStyle w:val="TextBody"/>
        <w:bidi w:val="0"/>
        <w:spacing w:before="0" w:after="0"/>
        <w:jc w:val="both"/>
        <w:rPr/>
      </w:pPr>
      <w:r>
        <w:rPr/>
        <w:t> </w:t>
      </w:r>
    </w:p>
    <w:tbl>
      <w:tblPr>
        <w:tblW w:w="8647" w:type="dxa"/>
        <w:jc w:val="left"/>
        <w:tblInd w:w="0" w:type="dxa"/>
        <w:tblLayout w:type="fixed"/>
        <w:tblCellMar>
          <w:top w:w="0" w:type="dxa"/>
          <w:left w:w="0" w:type="dxa"/>
          <w:bottom w:w="0" w:type="dxa"/>
          <w:right w:w="0" w:type="dxa"/>
        </w:tblCellMar>
      </w:tblPr>
      <w:tblGrid>
        <w:gridCol w:w="2090"/>
        <w:gridCol w:w="90"/>
        <w:gridCol w:w="303"/>
        <w:gridCol w:w="1052"/>
        <w:gridCol w:w="160"/>
        <w:gridCol w:w="160"/>
        <w:gridCol w:w="562"/>
        <w:gridCol w:w="612"/>
        <w:gridCol w:w="160"/>
        <w:gridCol w:w="160"/>
        <w:gridCol w:w="562"/>
        <w:gridCol w:w="612"/>
        <w:gridCol w:w="160"/>
        <w:gridCol w:w="160"/>
        <w:gridCol w:w="960"/>
        <w:gridCol w:w="709"/>
        <w:gridCol w:w="135"/>
      </w:tblGrid>
      <w:tr>
        <w:trPr/>
        <w:tc>
          <w:tcPr>
            <w:tcW w:w="20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090" w:type="dxa"/>
            <w:tcBorders/>
          </w:tcPr>
          <w:p>
            <w:pPr>
              <w:pStyle w:val="TableContents"/>
              <w:bidi w:val="0"/>
              <w:spacing w:before="0" w:after="283"/>
              <w:jc w:val="both"/>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6332" w:type="dxa"/>
            <w:gridSpan w:val="14"/>
            <w:tcBorders>
              <w:bottom w:val="single" w:sz="12" w:space="0" w:color="000000"/>
            </w:tcBorders>
            <w:tcMar>
              <w:bottom w:w="28" w:type="dxa"/>
            </w:tcMar>
          </w:tcPr>
          <w:p>
            <w:pPr>
              <w:pStyle w:val="TableContents"/>
              <w:bidi w:val="0"/>
              <w:spacing w:before="0" w:after="283"/>
              <w:jc w:val="center"/>
              <w:rPr/>
            </w:pPr>
            <w:r>
              <w:rPr/>
              <w:t xml:space="preserve">  </w:t>
            </w:r>
            <w:r>
              <w:rPr>
                <w:b/>
                <w:spacing w:val="0"/>
              </w:rPr>
              <w:t>Payment Status (Amortized Cost Basis)</w:t>
            </w:r>
            <w:r>
              <w:rPr/>
              <w:t xml:space="preserve"> </w:t>
            </w:r>
          </w:p>
        </w:tc>
        <w:tc>
          <w:tcPr>
            <w:tcW w:w="135" w:type="dxa"/>
            <w:tcBorders>
              <w:bottom w:val="single" w:sz="12" w:space="0" w:color="000000"/>
            </w:tcBorders>
            <w:tcMar>
              <w:bottom w:w="28" w:type="dxa"/>
            </w:tcMar>
          </w:tcPr>
          <w:p>
            <w:pPr>
              <w:pStyle w:val="TableContents"/>
              <w:bidi w:val="0"/>
              <w:spacing w:before="0" w:after="283"/>
              <w:jc w:val="center"/>
              <w:rPr/>
            </w:pPr>
            <w:r>
              <w:rPr/>
              <w:t> </w:t>
            </w:r>
          </w:p>
        </w:tc>
      </w:tr>
      <w:tr>
        <w:trPr/>
        <w:tc>
          <w:tcPr>
            <w:tcW w:w="2090" w:type="dxa"/>
            <w:tcBorders>
              <w:bottom w:val="single" w:sz="12" w:space="0" w:color="000000"/>
            </w:tcBorders>
            <w:tcMar>
              <w:bottom w:w="28" w:type="dxa"/>
            </w:tcMar>
          </w:tcPr>
          <w:p>
            <w:pPr>
              <w:pStyle w:val="TableContents"/>
              <w:bidi w:val="0"/>
              <w:spacing w:before="0" w:after="0"/>
              <w:ind w:left="0" w:right="0" w:hanging="0"/>
              <w:jc w:val="both"/>
              <w:rPr/>
            </w:pPr>
            <w:r>
              <w:rPr/>
              <w:t> </w:t>
            </w:r>
          </w:p>
          <w:p>
            <w:pPr>
              <w:pStyle w:val="TableContents"/>
              <w:bidi w:val="0"/>
              <w:spacing w:before="0" w:after="0"/>
              <w:ind w:left="0" w:right="0" w:hanging="0"/>
              <w:jc w:val="both"/>
              <w:rPr>
                <w:i/>
              </w:rPr>
            </w:pPr>
            <w:r>
              <w:rPr>
                <w:i/>
              </w:rPr>
              <w:t>(In thousands)</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Current</w:t>
            </w:r>
          </w:p>
        </w:tc>
        <w:tc>
          <w:tcPr>
            <w:tcW w:w="160" w:type="dxa"/>
            <w:tcBorders>
              <w:bottom w:val="single" w:sz="12" w:space="0" w:color="000000"/>
            </w:tcBorders>
            <w:tcMar>
              <w:bottom w:w="28" w:type="dxa"/>
            </w:tcMar>
          </w:tcPr>
          <w:p>
            <w:pPr>
              <w:pStyle w:val="TableContents"/>
              <w:bidi w:val="0"/>
              <w:spacing w:before="0" w:after="283"/>
              <w:jc w:val="center"/>
              <w:rPr/>
            </w:pPr>
            <w:r>
              <w:rPr/>
              <w:t> </w:t>
            </w:r>
          </w:p>
        </w:tc>
        <w:tc>
          <w:tcPr>
            <w:tcW w:w="160" w:type="dxa"/>
            <w:tcBorders>
              <w:bottom w:val="single" w:sz="12" w:space="0" w:color="000000"/>
            </w:tcBorders>
            <w:tcMar>
              <w:bottom w:w="28" w:type="dxa"/>
            </w:tcMa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31-60 Days</w:t>
            </w:r>
          </w:p>
          <w:p>
            <w:pPr>
              <w:pStyle w:val="TableContents"/>
              <w:bidi w:val="0"/>
              <w:spacing w:before="0" w:after="0"/>
              <w:ind w:left="0" w:right="0" w:hanging="0"/>
              <w:jc w:val="center"/>
              <w:rPr>
                <w:b/>
              </w:rPr>
            </w:pPr>
            <w:r>
              <w:rPr>
                <w:b/>
              </w:rPr>
              <w:t>Past Due</w:t>
            </w:r>
          </w:p>
        </w:tc>
        <w:tc>
          <w:tcPr>
            <w:tcW w:w="160" w:type="dxa"/>
            <w:tcBorders>
              <w:bottom w:val="single" w:sz="12" w:space="0" w:color="000000"/>
            </w:tcBorders>
            <w:tcMar>
              <w:bottom w:w="28" w:type="dxa"/>
            </w:tcMar>
          </w:tcPr>
          <w:p>
            <w:pPr>
              <w:pStyle w:val="TableContents"/>
              <w:bidi w:val="0"/>
              <w:spacing w:before="0" w:after="283"/>
              <w:jc w:val="center"/>
              <w:rPr/>
            </w:pPr>
            <w:r>
              <w:rPr/>
              <w:t> </w:t>
            </w:r>
          </w:p>
        </w:tc>
        <w:tc>
          <w:tcPr>
            <w:tcW w:w="160" w:type="dxa"/>
            <w:tcBorders>
              <w:bottom w:val="single" w:sz="12" w:space="0" w:color="000000"/>
            </w:tcBorders>
            <w:tcMar>
              <w:bottom w:w="28" w:type="dxa"/>
            </w:tcMa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61-90 Days</w:t>
            </w:r>
          </w:p>
          <w:p>
            <w:pPr>
              <w:pStyle w:val="TableContents"/>
              <w:bidi w:val="0"/>
              <w:spacing w:before="0" w:after="0"/>
              <w:ind w:left="0" w:right="0" w:hanging="0"/>
              <w:jc w:val="center"/>
              <w:rPr>
                <w:b/>
              </w:rPr>
            </w:pPr>
            <w:r>
              <w:rPr>
                <w:b/>
              </w:rPr>
              <w:t>Past Due</w:t>
            </w:r>
          </w:p>
        </w:tc>
        <w:tc>
          <w:tcPr>
            <w:tcW w:w="160" w:type="dxa"/>
            <w:tcBorders>
              <w:bottom w:val="single" w:sz="12" w:space="0" w:color="000000"/>
            </w:tcBorders>
            <w:tcMar>
              <w:bottom w:w="28" w:type="dxa"/>
            </w:tcMar>
          </w:tcPr>
          <w:p>
            <w:pPr>
              <w:pStyle w:val="TableContents"/>
              <w:bidi w:val="0"/>
              <w:spacing w:before="0" w:after="283"/>
              <w:jc w:val="center"/>
              <w:rPr/>
            </w:pPr>
            <w:r>
              <w:rPr/>
              <w:t> </w:t>
            </w:r>
          </w:p>
        </w:tc>
        <w:tc>
          <w:tcPr>
            <w:tcW w:w="160" w:type="dxa"/>
            <w:tcBorders>
              <w:bottom w:val="single" w:sz="12" w:space="0" w:color="000000"/>
            </w:tcBorders>
            <w:tcMar>
              <w:bottom w:w="28" w:type="dxa"/>
            </w:tcMar>
          </w:tcPr>
          <w:p>
            <w:pPr>
              <w:pStyle w:val="TableContents"/>
              <w:bidi w:val="0"/>
              <w:spacing w:before="0" w:after="283"/>
              <w:jc w:val="center"/>
              <w:rPr/>
            </w:pPr>
            <w:r>
              <w:rPr/>
              <w:t> </w:t>
            </w:r>
          </w:p>
        </w:tc>
        <w:tc>
          <w:tcPr>
            <w:tcW w:w="1669"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Greater than 90</w:t>
            </w:r>
          </w:p>
          <w:p>
            <w:pPr>
              <w:pStyle w:val="TableContents"/>
              <w:bidi w:val="0"/>
              <w:spacing w:before="0" w:after="0"/>
              <w:ind w:left="0" w:right="0" w:hanging="0"/>
              <w:jc w:val="center"/>
              <w:rPr>
                <w:b/>
              </w:rPr>
            </w:pPr>
            <w:r>
              <w:rPr>
                <w:b/>
              </w:rPr>
              <w:t>Days Past Due</w:t>
            </w:r>
          </w:p>
        </w:tc>
        <w:tc>
          <w:tcPr>
            <w:tcW w:w="135" w:type="dxa"/>
            <w:tcBorders>
              <w:bottom w:val="single" w:sz="12" w:space="0" w:color="000000"/>
            </w:tcBorders>
            <w:tcMar>
              <w:bottom w:w="28" w:type="dxa"/>
            </w:tcMar>
          </w:tcPr>
          <w:p>
            <w:pPr>
              <w:pStyle w:val="TableContents"/>
              <w:bidi w:val="0"/>
              <w:spacing w:before="0" w:after="283"/>
              <w:jc w:val="center"/>
              <w:rPr/>
            </w:pPr>
            <w:r>
              <w:rPr/>
              <w:t> </w:t>
            </w:r>
          </w:p>
        </w:tc>
      </w:tr>
      <w:tr>
        <w:trPr/>
        <w:tc>
          <w:tcPr>
            <w:tcW w:w="2090" w:type="dxa"/>
            <w:tcBorders/>
          </w:tcPr>
          <w:p>
            <w:pPr>
              <w:pStyle w:val="TableContents"/>
              <w:bidi w:val="0"/>
              <w:spacing w:before="0" w:after="0"/>
              <w:ind w:left="0" w:right="0" w:hanging="0"/>
              <w:jc w:val="both"/>
              <w:rPr>
                <w:b/>
              </w:rPr>
            </w:pPr>
            <w:r>
              <w:rPr>
                <w:b/>
              </w:rPr>
              <w:t>As of June 30, 2026</w:t>
            </w:r>
          </w:p>
        </w:tc>
        <w:tc>
          <w:tcPr>
            <w:tcW w:w="90" w:type="dxa"/>
            <w:tcBorders/>
          </w:tcPr>
          <w:p>
            <w:pPr>
              <w:pStyle w:val="TableContents"/>
              <w:bidi w:val="0"/>
              <w:spacing w:before="0" w:after="283"/>
              <w:jc w:val="both"/>
              <w:rPr/>
            </w:pPr>
            <w:r>
              <w:rPr/>
              <w:t> </w:t>
            </w:r>
          </w:p>
        </w:tc>
        <w:tc>
          <w:tcPr>
            <w:tcW w:w="303" w:type="dxa"/>
            <w:tcBorders/>
          </w:tcPr>
          <w:p>
            <w:pPr>
              <w:pStyle w:val="TableContents"/>
              <w:bidi w:val="0"/>
              <w:spacing w:before="0" w:after="283"/>
              <w:jc w:val="both"/>
              <w:rPr/>
            </w:pPr>
            <w:r>
              <w:rPr/>
              <w:t> </w:t>
            </w:r>
          </w:p>
        </w:tc>
        <w:tc>
          <w:tcPr>
            <w:tcW w:w="1052"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562" w:type="dxa"/>
            <w:tcBorders/>
          </w:tcPr>
          <w:p>
            <w:pPr>
              <w:pStyle w:val="TableContents"/>
              <w:bidi w:val="0"/>
              <w:spacing w:before="0" w:after="283"/>
              <w:jc w:val="both"/>
              <w:rPr/>
            </w:pPr>
            <w:r>
              <w:rPr/>
              <w:t> </w:t>
            </w:r>
          </w:p>
        </w:tc>
        <w:tc>
          <w:tcPr>
            <w:tcW w:w="612"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562" w:type="dxa"/>
            <w:tcBorders/>
          </w:tcPr>
          <w:p>
            <w:pPr>
              <w:pStyle w:val="TableContents"/>
              <w:bidi w:val="0"/>
              <w:spacing w:before="0" w:after="283"/>
              <w:jc w:val="both"/>
              <w:rPr/>
            </w:pPr>
            <w:r>
              <w:rPr/>
              <w:t> </w:t>
            </w:r>
          </w:p>
        </w:tc>
        <w:tc>
          <w:tcPr>
            <w:tcW w:w="612"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960" w:type="dxa"/>
            <w:tcBorders/>
          </w:tcPr>
          <w:p>
            <w:pPr>
              <w:pStyle w:val="TableContents"/>
              <w:bidi w:val="0"/>
              <w:spacing w:before="0" w:after="283"/>
              <w:jc w:val="both"/>
              <w:rPr/>
            </w:pPr>
            <w:r>
              <w:rPr/>
              <w:t> </w:t>
            </w:r>
          </w:p>
        </w:tc>
        <w:tc>
          <w:tcPr>
            <w:tcW w:w="709" w:type="dxa"/>
            <w:tcBorders/>
          </w:tcPr>
          <w:p>
            <w:pPr>
              <w:pStyle w:val="TableContents"/>
              <w:bidi w:val="0"/>
              <w:spacing w:before="0" w:after="283"/>
              <w:jc w:val="both"/>
              <w:rPr/>
            </w:pPr>
            <w:r>
              <w:rPr/>
              <w:t> </w:t>
            </w:r>
          </w:p>
        </w:tc>
        <w:tc>
          <w:tcPr>
            <w:tcW w:w="135" w:type="dxa"/>
            <w:tcBorders/>
          </w:tcPr>
          <w:p>
            <w:pPr>
              <w:pStyle w:val="TableContents"/>
              <w:bidi w:val="0"/>
              <w:spacing w:before="0" w:after="283"/>
              <w:jc w:val="both"/>
              <w:rPr/>
            </w:pPr>
            <w:r>
              <w:rPr/>
              <w:t> </w:t>
            </w:r>
          </w:p>
        </w:tc>
      </w:tr>
      <w:tr>
        <w:trPr/>
        <w:tc>
          <w:tcPr>
            <w:tcW w:w="2090" w:type="dxa"/>
            <w:tcBorders/>
          </w:tcPr>
          <w:p>
            <w:pPr>
              <w:pStyle w:val="TableContents"/>
              <w:bidi w:val="0"/>
              <w:spacing w:before="0" w:after="0"/>
              <w:ind w:left="0" w:right="0" w:hanging="0"/>
              <w:jc w:val="both"/>
              <w:rPr/>
            </w:pPr>
            <w:r>
              <w:rPr/>
              <w:t>Consumer loans:</w:t>
            </w:r>
          </w:p>
        </w:tc>
        <w:tc>
          <w:tcPr>
            <w:tcW w:w="90" w:type="dxa"/>
            <w:tcBorders/>
          </w:tcPr>
          <w:p>
            <w:pPr>
              <w:pStyle w:val="TableContents"/>
              <w:bidi w:val="0"/>
              <w:spacing w:before="0" w:after="283"/>
              <w:jc w:val="both"/>
              <w:rPr/>
            </w:pPr>
            <w:r>
              <w:rPr/>
              <w:t> </w:t>
            </w:r>
          </w:p>
        </w:tc>
        <w:tc>
          <w:tcPr>
            <w:tcW w:w="303" w:type="dxa"/>
            <w:tcBorders/>
          </w:tcPr>
          <w:p>
            <w:pPr>
              <w:pStyle w:val="TableContents"/>
              <w:bidi w:val="0"/>
              <w:spacing w:before="0" w:after="283"/>
              <w:jc w:val="both"/>
              <w:rPr/>
            </w:pPr>
            <w:r>
              <w:rPr/>
              <w:t> </w:t>
            </w:r>
          </w:p>
        </w:tc>
        <w:tc>
          <w:tcPr>
            <w:tcW w:w="1052"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562" w:type="dxa"/>
            <w:tcBorders/>
          </w:tcPr>
          <w:p>
            <w:pPr>
              <w:pStyle w:val="TableContents"/>
              <w:bidi w:val="0"/>
              <w:spacing w:before="0" w:after="283"/>
              <w:jc w:val="both"/>
              <w:rPr/>
            </w:pPr>
            <w:r>
              <w:rPr/>
              <w:t> </w:t>
            </w:r>
          </w:p>
        </w:tc>
        <w:tc>
          <w:tcPr>
            <w:tcW w:w="612"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562" w:type="dxa"/>
            <w:tcBorders/>
          </w:tcPr>
          <w:p>
            <w:pPr>
              <w:pStyle w:val="TableContents"/>
              <w:bidi w:val="0"/>
              <w:spacing w:before="0" w:after="283"/>
              <w:jc w:val="both"/>
              <w:rPr/>
            </w:pPr>
            <w:r>
              <w:rPr/>
              <w:t> </w:t>
            </w:r>
          </w:p>
        </w:tc>
        <w:tc>
          <w:tcPr>
            <w:tcW w:w="612"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160" w:type="dxa"/>
            <w:tcBorders/>
          </w:tcPr>
          <w:p>
            <w:pPr>
              <w:pStyle w:val="TableContents"/>
              <w:bidi w:val="0"/>
              <w:spacing w:before="0" w:after="283"/>
              <w:jc w:val="both"/>
              <w:rPr/>
            </w:pPr>
            <w:r>
              <w:rPr/>
              <w:t> </w:t>
            </w:r>
          </w:p>
        </w:tc>
        <w:tc>
          <w:tcPr>
            <w:tcW w:w="960" w:type="dxa"/>
            <w:tcBorders/>
          </w:tcPr>
          <w:p>
            <w:pPr>
              <w:pStyle w:val="TableContents"/>
              <w:bidi w:val="0"/>
              <w:spacing w:before="0" w:after="283"/>
              <w:jc w:val="both"/>
              <w:rPr/>
            </w:pPr>
            <w:r>
              <w:rPr/>
              <w:t> </w:t>
            </w:r>
          </w:p>
        </w:tc>
        <w:tc>
          <w:tcPr>
            <w:tcW w:w="709" w:type="dxa"/>
            <w:tcBorders/>
          </w:tcPr>
          <w:p>
            <w:pPr>
              <w:pStyle w:val="TableContents"/>
              <w:bidi w:val="0"/>
              <w:spacing w:before="0" w:after="283"/>
              <w:jc w:val="both"/>
              <w:rPr/>
            </w:pPr>
            <w:r>
              <w:rPr/>
              <w:t> </w:t>
            </w:r>
          </w:p>
        </w:tc>
        <w:tc>
          <w:tcPr>
            <w:tcW w:w="135" w:type="dxa"/>
            <w:tcBorders/>
          </w:tcPr>
          <w:p>
            <w:pPr>
              <w:pStyle w:val="TableContents"/>
              <w:bidi w:val="0"/>
              <w:spacing w:before="0" w:after="283"/>
              <w:jc w:val="both"/>
              <w:rPr/>
            </w:pPr>
            <w:r>
              <w:rPr/>
              <w:t> </w:t>
            </w:r>
          </w:p>
        </w:tc>
      </w:tr>
      <w:tr>
        <w:trPr/>
        <w:tc>
          <w:tcPr>
            <w:tcW w:w="20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Auto</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303"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05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562"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61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562"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612"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9</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96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70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35"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2090" w:type="dxa"/>
            <w:tcBorders>
              <w:bottom w:val="single" w:sz="12" w:space="0" w:color="000000"/>
            </w:tcBorders>
            <w:tcMar>
              <w:bottom w:w="28" w:type="dxa"/>
            </w:tcMar>
          </w:tcPr>
          <w:p>
            <w:pPr>
              <w:pStyle w:val="TableContents"/>
              <w:bidi w:val="0"/>
              <w:spacing w:before="0" w:after="0"/>
              <w:ind w:left="0" w:right="0" w:hanging="0"/>
              <w:jc w:val="both"/>
              <w:rPr/>
            </w:pPr>
            <w:r>
              <w:rPr/>
              <w:t>Total consumer loans</w:t>
            </w:r>
          </w:p>
        </w:tc>
        <w:tc>
          <w:tcPr>
            <w:tcW w:w="90" w:type="dxa"/>
            <w:tcBorders>
              <w:bottom w:val="single" w:sz="12" w:space="0" w:color="000000"/>
            </w:tcBorders>
            <w:tcMar>
              <w:bottom w:w="28" w:type="dxa"/>
            </w:tcMar>
          </w:tcPr>
          <w:p>
            <w:pPr>
              <w:pStyle w:val="TableContents"/>
              <w:bidi w:val="0"/>
              <w:spacing w:before="0" w:after="0"/>
              <w:ind w:left="0" w:right="0" w:hanging="0"/>
              <w:jc w:val="right"/>
              <w:rPr/>
            </w:pPr>
            <w:r>
              <w:rPr/>
              <w:t> </w:t>
            </w:r>
          </w:p>
        </w:tc>
        <w:tc>
          <w:tcPr>
            <w:tcW w:w="303"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1052" w:type="dxa"/>
            <w:tcBorders>
              <w:bottom w:val="single" w:sz="12" w:space="0" w:color="000000"/>
            </w:tcBorders>
            <w:tcMar>
              <w:bottom w:w="28" w:type="dxa"/>
            </w:tcMar>
          </w:tcPr>
          <w:p>
            <w:pPr>
              <w:pStyle w:val="TableContents"/>
              <w:bidi w:val="0"/>
              <w:spacing w:before="0" w:after="0"/>
              <w:ind w:left="0" w:right="0" w:hanging="0"/>
              <w:jc w:val="right"/>
              <w:rPr/>
            </w:pPr>
            <w:r>
              <w:rPr/>
              <w:t xml:space="preserve">- </w:t>
            </w:r>
          </w:p>
        </w:tc>
        <w:tc>
          <w:tcPr>
            <w:tcW w:w="16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tcMar>
              <w:bottom w:w="28" w:type="dxa"/>
            </w:tcMar>
          </w:tcPr>
          <w:p>
            <w:pPr>
              <w:pStyle w:val="TableContents"/>
              <w:bidi w:val="0"/>
              <w:spacing w:before="0" w:after="0"/>
              <w:ind w:left="0" w:right="0" w:hanging="0"/>
              <w:jc w:val="right"/>
              <w:rPr/>
            </w:pPr>
            <w:r>
              <w:rPr/>
              <w:t> </w:t>
            </w:r>
          </w:p>
        </w:tc>
        <w:tc>
          <w:tcPr>
            <w:tcW w:w="562"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612" w:type="dxa"/>
            <w:tcBorders>
              <w:bottom w:val="single" w:sz="12" w:space="0" w:color="000000"/>
            </w:tcBorders>
            <w:tcMar>
              <w:bottom w:w="28" w:type="dxa"/>
            </w:tcMar>
          </w:tcPr>
          <w:p>
            <w:pPr>
              <w:pStyle w:val="TableContents"/>
              <w:bidi w:val="0"/>
              <w:spacing w:before="0" w:after="0"/>
              <w:ind w:left="0" w:right="0" w:hanging="0"/>
              <w:jc w:val="right"/>
              <w:rPr/>
            </w:pPr>
            <w:r>
              <w:rPr/>
              <w:t xml:space="preserve">- </w:t>
            </w:r>
          </w:p>
        </w:tc>
        <w:tc>
          <w:tcPr>
            <w:tcW w:w="16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tcMar>
              <w:bottom w:w="28" w:type="dxa"/>
            </w:tcMar>
          </w:tcPr>
          <w:p>
            <w:pPr>
              <w:pStyle w:val="TableContents"/>
              <w:bidi w:val="0"/>
              <w:spacing w:before="0" w:after="0"/>
              <w:ind w:left="0" w:right="0" w:hanging="0"/>
              <w:jc w:val="right"/>
              <w:rPr/>
            </w:pPr>
            <w:r>
              <w:rPr/>
              <w:t> </w:t>
            </w:r>
          </w:p>
        </w:tc>
        <w:tc>
          <w:tcPr>
            <w:tcW w:w="562"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612" w:type="dxa"/>
            <w:tcBorders>
              <w:bottom w:val="single" w:sz="12" w:space="0" w:color="000000"/>
            </w:tcBorders>
            <w:tcMar>
              <w:bottom w:w="28" w:type="dxa"/>
            </w:tcMar>
          </w:tcPr>
          <w:p>
            <w:pPr>
              <w:pStyle w:val="TableContents"/>
              <w:bidi w:val="0"/>
              <w:spacing w:before="0" w:after="0"/>
              <w:ind w:left="0" w:right="0" w:hanging="0"/>
              <w:jc w:val="right"/>
              <w:rPr>
                <w:b/>
              </w:rPr>
            </w:pPr>
            <w:r>
              <w:rPr>
                <w:b/>
              </w:rPr>
              <w:t>9</w:t>
            </w:r>
          </w:p>
        </w:tc>
        <w:tc>
          <w:tcPr>
            <w:tcW w:w="16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tcMar>
              <w:bottom w:w="28" w:type="dxa"/>
            </w:tcMar>
          </w:tcPr>
          <w:p>
            <w:pPr>
              <w:pStyle w:val="TableContents"/>
              <w:bidi w:val="0"/>
              <w:spacing w:before="0" w:after="0"/>
              <w:ind w:left="0" w:right="0" w:hanging="0"/>
              <w:jc w:val="right"/>
              <w:rPr/>
            </w:pPr>
            <w:r>
              <w:rPr/>
              <w:t> </w:t>
            </w:r>
          </w:p>
        </w:tc>
        <w:tc>
          <w:tcPr>
            <w:tcW w:w="960"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709" w:type="dxa"/>
            <w:tcBorders>
              <w:bottom w:val="single" w:sz="12" w:space="0" w:color="000000"/>
            </w:tcBorders>
            <w:tcMar>
              <w:bottom w:w="28" w:type="dxa"/>
            </w:tcMar>
          </w:tcPr>
          <w:p>
            <w:pPr>
              <w:pStyle w:val="TableContents"/>
              <w:bidi w:val="0"/>
              <w:spacing w:before="0" w:after="0"/>
              <w:ind w:left="0" w:right="0" w:hanging="0"/>
              <w:jc w:val="right"/>
              <w:rPr/>
            </w:pPr>
            <w:r>
              <w:rPr/>
              <w:t xml:space="preserve">- </w:t>
            </w:r>
          </w:p>
        </w:tc>
        <w:tc>
          <w:tcPr>
            <w:tcW w:w="135" w:type="dxa"/>
            <w:tcBorders>
              <w:bottom w:val="single" w:sz="12" w:space="0" w:color="000000"/>
            </w:tcBorders>
            <w:tcMar>
              <w:bottom w:w="28" w:type="dxa"/>
            </w:tcMar>
          </w:tcPr>
          <w:p>
            <w:pPr>
              <w:pStyle w:val="TableContents"/>
              <w:bidi w:val="0"/>
              <w:spacing w:before="0" w:after="0"/>
              <w:jc w:val="left"/>
              <w:rPr/>
            </w:pPr>
            <w:r>
              <w:rPr/>
              <w:t> </w:t>
            </w:r>
          </w:p>
        </w:tc>
      </w:tr>
      <w:tr>
        <w:trPr/>
        <w:tc>
          <w:tcPr>
            <w:tcW w:w="20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Residential</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303"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052"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1,839</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562"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61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562"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612"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6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960"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70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35"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2090" w:type="dxa"/>
            <w:tcBorders>
              <w:bottom w:val="double" w:sz="8" w:space="0" w:color="000000"/>
            </w:tcBorders>
            <w:tcMar>
              <w:bottom w:w="28" w:type="dxa"/>
            </w:tcMar>
          </w:tcPr>
          <w:p>
            <w:pPr>
              <w:pStyle w:val="TableContents"/>
              <w:bidi w:val="0"/>
              <w:spacing w:before="0" w:after="0"/>
              <w:ind w:left="0" w:right="0" w:hanging="0"/>
              <w:jc w:val="both"/>
              <w:rPr/>
            </w:pPr>
            <w:r>
              <w:rPr/>
              <w:t xml:space="preserve">Total </w:t>
            </w:r>
          </w:p>
        </w:tc>
        <w:tc>
          <w:tcPr>
            <w:tcW w:w="90"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303"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052" w:type="dxa"/>
            <w:tcBorders>
              <w:bottom w:val="double" w:sz="8" w:space="0" w:color="000000"/>
            </w:tcBorders>
            <w:tcMar>
              <w:bottom w:w="28" w:type="dxa"/>
            </w:tcMar>
          </w:tcPr>
          <w:p>
            <w:pPr>
              <w:pStyle w:val="TableContents"/>
              <w:bidi w:val="0"/>
              <w:spacing w:before="0" w:after="0"/>
              <w:ind w:left="0" w:right="0" w:hanging="0"/>
              <w:jc w:val="right"/>
              <w:rPr>
                <w:b/>
              </w:rPr>
            </w:pPr>
            <w:r>
              <w:rPr>
                <w:b/>
              </w:rPr>
              <w:t>1,839</w:t>
            </w:r>
          </w:p>
        </w:tc>
        <w:tc>
          <w:tcPr>
            <w:tcW w:w="16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60"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562"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612" w:type="dxa"/>
            <w:tcBorders>
              <w:bottom w:val="double" w:sz="8" w:space="0" w:color="000000"/>
            </w:tcBorders>
            <w:tcMar>
              <w:bottom w:w="28" w:type="dxa"/>
            </w:tcMar>
          </w:tcPr>
          <w:p>
            <w:pPr>
              <w:pStyle w:val="TableContents"/>
              <w:bidi w:val="0"/>
              <w:spacing w:before="0" w:after="0"/>
              <w:ind w:left="0" w:right="0" w:hanging="0"/>
              <w:jc w:val="right"/>
              <w:rPr/>
            </w:pPr>
            <w:r>
              <w:rPr/>
              <w:t xml:space="preserve">- </w:t>
            </w:r>
          </w:p>
        </w:tc>
        <w:tc>
          <w:tcPr>
            <w:tcW w:w="16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60"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562"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612" w:type="dxa"/>
            <w:tcBorders>
              <w:bottom w:val="double" w:sz="8" w:space="0" w:color="000000"/>
            </w:tcBorders>
            <w:tcMar>
              <w:bottom w:w="28" w:type="dxa"/>
            </w:tcMar>
          </w:tcPr>
          <w:p>
            <w:pPr>
              <w:pStyle w:val="TableContents"/>
              <w:bidi w:val="0"/>
              <w:spacing w:before="0" w:after="0"/>
              <w:ind w:left="0" w:right="0" w:hanging="0"/>
              <w:jc w:val="right"/>
              <w:rPr>
                <w:b/>
              </w:rPr>
            </w:pPr>
            <w:r>
              <w:rPr>
                <w:b/>
              </w:rPr>
              <w:t>9</w:t>
            </w:r>
          </w:p>
        </w:tc>
        <w:tc>
          <w:tcPr>
            <w:tcW w:w="16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60"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96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709" w:type="dxa"/>
            <w:tcBorders>
              <w:bottom w:val="double" w:sz="8" w:space="0" w:color="000000"/>
            </w:tcBorders>
            <w:tcMar>
              <w:bottom w:w="28" w:type="dxa"/>
            </w:tcMar>
          </w:tcPr>
          <w:p>
            <w:pPr>
              <w:pStyle w:val="TableContents"/>
              <w:bidi w:val="0"/>
              <w:spacing w:before="0" w:after="0"/>
              <w:ind w:left="0" w:right="0" w:hanging="0"/>
              <w:jc w:val="right"/>
              <w:rPr/>
            </w:pPr>
            <w:r>
              <w:rPr/>
              <w:t xml:space="preserve">- </w:t>
            </w:r>
          </w:p>
        </w:tc>
        <w:tc>
          <w:tcPr>
            <w:tcW w:w="135" w:type="dxa"/>
            <w:tcBorders>
              <w:bottom w:val="double" w:sz="8" w:space="0" w:color="000000"/>
            </w:tcBorders>
            <w:tcMar>
              <w:bottom w:w="28" w:type="dxa"/>
            </w:tcMar>
          </w:tcPr>
          <w:p>
            <w:pPr>
              <w:pStyle w:val="TableContents"/>
              <w:bidi w:val="0"/>
              <w:spacing w:before="0" w:after="0"/>
              <w:jc w:val="left"/>
              <w:rPr/>
            </w:pPr>
            <w:r>
              <w:rPr/>
              <w:t> </w:t>
            </w:r>
          </w:p>
        </w:tc>
      </w:tr>
    </w:tbl>
    <w:p>
      <w:pPr>
        <w:pStyle w:val="TextBody"/>
        <w:bidi w:val="0"/>
        <w:spacing w:before="0" w:after="0"/>
        <w:jc w:val="both"/>
        <w:rPr/>
      </w:pPr>
      <w:r>
        <w:rPr/>
        <w:t> </w:t>
      </w:r>
    </w:p>
    <w:tbl>
      <w:tblPr>
        <w:tblW w:w="8283" w:type="dxa"/>
        <w:jc w:val="left"/>
        <w:tblInd w:w="0" w:type="dxa"/>
        <w:tblLayout w:type="fixed"/>
        <w:tblCellMar>
          <w:top w:w="0" w:type="dxa"/>
          <w:left w:w="0" w:type="dxa"/>
          <w:bottom w:w="0" w:type="dxa"/>
          <w:right w:w="0" w:type="dxa"/>
        </w:tblCellMar>
      </w:tblPr>
      <w:tblGrid>
        <w:gridCol w:w="2045"/>
        <w:gridCol w:w="131"/>
        <w:gridCol w:w="248"/>
        <w:gridCol w:w="860"/>
        <w:gridCol w:w="131"/>
        <w:gridCol w:w="131"/>
        <w:gridCol w:w="434"/>
        <w:gridCol w:w="740"/>
        <w:gridCol w:w="131"/>
        <w:gridCol w:w="131"/>
        <w:gridCol w:w="434"/>
        <w:gridCol w:w="740"/>
        <w:gridCol w:w="131"/>
        <w:gridCol w:w="131"/>
        <w:gridCol w:w="960"/>
        <w:gridCol w:w="709"/>
        <w:gridCol w:w="196"/>
      </w:tblGrid>
      <w:tr>
        <w:trPr/>
        <w:tc>
          <w:tcPr>
            <w:tcW w:w="2045" w:type="dxa"/>
            <w:tcBorders/>
          </w:tcPr>
          <w:p>
            <w:pPr>
              <w:pStyle w:val="TableContents"/>
              <w:bidi w:val="0"/>
              <w:spacing w:before="0" w:after="283"/>
              <w:jc w:val="both"/>
              <w:rPr/>
            </w:pPr>
            <w:r>
              <w:rPr/>
              <w:t> </w:t>
            </w:r>
          </w:p>
        </w:tc>
        <w:tc>
          <w:tcPr>
            <w:tcW w:w="6238" w:type="dxa"/>
            <w:gridSpan w:val="16"/>
            <w:tcBorders>
              <w:bottom w:val="single" w:sz="12" w:space="0" w:color="000000"/>
            </w:tcBorders>
            <w:tcMar>
              <w:bottom w:w="28" w:type="dxa"/>
            </w:tcMar>
          </w:tcPr>
          <w:p>
            <w:pPr>
              <w:pStyle w:val="TableContents"/>
              <w:bidi w:val="0"/>
              <w:spacing w:before="0" w:after="0"/>
              <w:ind w:left="0" w:right="0" w:hanging="0"/>
              <w:jc w:val="center"/>
              <w:rPr>
                <w:b/>
              </w:rPr>
            </w:pPr>
            <w:r>
              <w:rPr>
                <w:b/>
              </w:rPr>
              <w:t>Payment Status (Amortized Cost Basis)</w:t>
            </w:r>
          </w:p>
        </w:tc>
      </w:tr>
      <w:tr>
        <w:trPr/>
        <w:tc>
          <w:tcPr>
            <w:tcW w:w="2045" w:type="dxa"/>
            <w:tcBorders>
              <w:bottom w:val="single" w:sz="12" w:space="0" w:color="000000"/>
            </w:tcBorders>
            <w:tcMar>
              <w:bottom w:w="28" w:type="dxa"/>
            </w:tcMar>
          </w:tcPr>
          <w:p>
            <w:pPr>
              <w:pStyle w:val="TableContents"/>
              <w:bidi w:val="0"/>
              <w:spacing w:before="0" w:after="0"/>
              <w:ind w:left="0" w:right="0" w:hanging="0"/>
              <w:jc w:val="both"/>
              <w:rPr/>
            </w:pPr>
            <w:r>
              <w:rPr/>
              <w:t> </w:t>
            </w:r>
          </w:p>
          <w:p>
            <w:pPr>
              <w:pStyle w:val="TableContents"/>
              <w:bidi w:val="0"/>
              <w:spacing w:before="0" w:after="0"/>
              <w:ind w:left="0" w:right="0" w:hanging="0"/>
              <w:jc w:val="both"/>
              <w:rPr>
                <w:i/>
              </w:rPr>
            </w:pPr>
            <w:r>
              <w:rPr>
                <w:i/>
              </w:rPr>
              <w:t>(In thousands)</w:t>
            </w:r>
          </w:p>
        </w:tc>
        <w:tc>
          <w:tcPr>
            <w:tcW w:w="131" w:type="dxa"/>
            <w:tcBorders>
              <w:bottom w:val="single" w:sz="12" w:space="0" w:color="000000"/>
            </w:tcBorders>
            <w:tcMar>
              <w:bottom w:w="28" w:type="dxa"/>
            </w:tcMar>
          </w:tcPr>
          <w:p>
            <w:pPr>
              <w:pStyle w:val="TableContents"/>
              <w:bidi w:val="0"/>
              <w:spacing w:before="0" w:after="283"/>
              <w:jc w:val="center"/>
              <w:rPr/>
            </w:pPr>
            <w:r>
              <w:rPr/>
              <w:t> </w:t>
            </w:r>
          </w:p>
        </w:tc>
        <w:tc>
          <w:tcPr>
            <w:tcW w:w="1108"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Current</w:t>
            </w:r>
          </w:p>
        </w:tc>
        <w:tc>
          <w:tcPr>
            <w:tcW w:w="131" w:type="dxa"/>
            <w:tcBorders>
              <w:bottom w:val="single" w:sz="12" w:space="0" w:color="000000"/>
            </w:tcBorders>
            <w:tcMar>
              <w:bottom w:w="28" w:type="dxa"/>
            </w:tcMar>
          </w:tcPr>
          <w:p>
            <w:pPr>
              <w:pStyle w:val="TableContents"/>
              <w:bidi w:val="0"/>
              <w:spacing w:before="0" w:after="283"/>
              <w:jc w:val="center"/>
              <w:rPr/>
            </w:pPr>
            <w:r>
              <w:rPr/>
              <w:t> </w:t>
            </w:r>
          </w:p>
        </w:tc>
        <w:tc>
          <w:tcPr>
            <w:tcW w:w="131" w:type="dxa"/>
            <w:tcBorders>
              <w:bottom w:val="single" w:sz="12" w:space="0" w:color="000000"/>
            </w:tcBorders>
            <w:tcMar>
              <w:bottom w:w="28" w:type="dxa"/>
            </w:tcMa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31-60 Days</w:t>
            </w:r>
          </w:p>
          <w:p>
            <w:pPr>
              <w:pStyle w:val="TableContents"/>
              <w:bidi w:val="0"/>
              <w:spacing w:before="0" w:after="0"/>
              <w:ind w:left="0" w:right="0" w:hanging="0"/>
              <w:jc w:val="center"/>
              <w:rPr>
                <w:b/>
              </w:rPr>
            </w:pPr>
            <w:r>
              <w:rPr>
                <w:b/>
              </w:rPr>
              <w:t>Past Due</w:t>
            </w:r>
          </w:p>
        </w:tc>
        <w:tc>
          <w:tcPr>
            <w:tcW w:w="131" w:type="dxa"/>
            <w:tcBorders>
              <w:bottom w:val="single" w:sz="12" w:space="0" w:color="000000"/>
            </w:tcBorders>
            <w:tcMar>
              <w:bottom w:w="28" w:type="dxa"/>
            </w:tcMar>
          </w:tcPr>
          <w:p>
            <w:pPr>
              <w:pStyle w:val="TableContents"/>
              <w:bidi w:val="0"/>
              <w:spacing w:before="0" w:after="283"/>
              <w:jc w:val="center"/>
              <w:rPr/>
            </w:pPr>
            <w:r>
              <w:rPr/>
              <w:t> </w:t>
            </w:r>
          </w:p>
        </w:tc>
        <w:tc>
          <w:tcPr>
            <w:tcW w:w="131" w:type="dxa"/>
            <w:tcBorders>
              <w:bottom w:val="single" w:sz="12" w:space="0" w:color="000000"/>
            </w:tcBorders>
            <w:tcMar>
              <w:bottom w:w="28" w:type="dxa"/>
            </w:tcMa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61-90 Days</w:t>
            </w:r>
          </w:p>
          <w:p>
            <w:pPr>
              <w:pStyle w:val="TableContents"/>
              <w:bidi w:val="0"/>
              <w:spacing w:before="0" w:after="0"/>
              <w:ind w:left="0" w:right="0" w:hanging="0"/>
              <w:jc w:val="center"/>
              <w:rPr>
                <w:b/>
              </w:rPr>
            </w:pPr>
            <w:r>
              <w:rPr>
                <w:b/>
              </w:rPr>
              <w:t>Past Due</w:t>
            </w:r>
          </w:p>
        </w:tc>
        <w:tc>
          <w:tcPr>
            <w:tcW w:w="131" w:type="dxa"/>
            <w:tcBorders>
              <w:bottom w:val="single" w:sz="12" w:space="0" w:color="000000"/>
            </w:tcBorders>
            <w:tcMar>
              <w:bottom w:w="28" w:type="dxa"/>
            </w:tcMar>
          </w:tcPr>
          <w:p>
            <w:pPr>
              <w:pStyle w:val="TableContents"/>
              <w:bidi w:val="0"/>
              <w:spacing w:before="0" w:after="283"/>
              <w:jc w:val="center"/>
              <w:rPr/>
            </w:pPr>
            <w:r>
              <w:rPr/>
              <w:t> </w:t>
            </w:r>
          </w:p>
        </w:tc>
        <w:tc>
          <w:tcPr>
            <w:tcW w:w="131" w:type="dxa"/>
            <w:tcBorders>
              <w:bottom w:val="single" w:sz="12" w:space="0" w:color="000000"/>
            </w:tcBorders>
            <w:tcMar>
              <w:bottom w:w="28" w:type="dxa"/>
            </w:tcMar>
          </w:tcPr>
          <w:p>
            <w:pPr>
              <w:pStyle w:val="TableContents"/>
              <w:bidi w:val="0"/>
              <w:spacing w:before="0" w:after="283"/>
              <w:jc w:val="center"/>
              <w:rPr/>
            </w:pPr>
            <w:r>
              <w:rPr/>
              <w:t> </w:t>
            </w:r>
          </w:p>
        </w:tc>
        <w:tc>
          <w:tcPr>
            <w:tcW w:w="1669"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Greater than 90</w:t>
            </w:r>
          </w:p>
          <w:p>
            <w:pPr>
              <w:pStyle w:val="TableContents"/>
              <w:bidi w:val="0"/>
              <w:spacing w:before="0" w:after="0"/>
              <w:ind w:left="0" w:right="0" w:hanging="0"/>
              <w:jc w:val="center"/>
              <w:rPr>
                <w:b/>
              </w:rPr>
            </w:pPr>
            <w:r>
              <w:rPr>
                <w:b/>
              </w:rPr>
              <w:t>Days Past Due</w:t>
            </w:r>
          </w:p>
        </w:tc>
        <w:tc>
          <w:tcPr>
            <w:tcW w:w="196" w:type="dxa"/>
            <w:tcBorders>
              <w:bottom w:val="single" w:sz="12" w:space="0" w:color="000000"/>
            </w:tcBorders>
            <w:tcMar>
              <w:bottom w:w="28" w:type="dxa"/>
            </w:tcMar>
          </w:tcPr>
          <w:p>
            <w:pPr>
              <w:pStyle w:val="TableContents"/>
              <w:bidi w:val="0"/>
              <w:spacing w:before="0" w:after="283"/>
              <w:jc w:val="center"/>
              <w:rPr/>
            </w:pPr>
            <w:r>
              <w:rPr/>
              <w:t> </w:t>
            </w:r>
          </w:p>
        </w:tc>
      </w:tr>
      <w:tr>
        <w:trPr/>
        <w:tc>
          <w:tcPr>
            <w:tcW w:w="2045" w:type="dxa"/>
            <w:tcBorders/>
          </w:tcPr>
          <w:p>
            <w:pPr>
              <w:pStyle w:val="TableContents"/>
              <w:bidi w:val="0"/>
              <w:spacing w:before="0" w:after="0"/>
              <w:ind w:left="0" w:right="0" w:hanging="0"/>
              <w:jc w:val="both"/>
              <w:rPr>
                <w:b/>
              </w:rPr>
            </w:pPr>
            <w:r>
              <w:rPr>
                <w:b/>
              </w:rPr>
              <w:t>As of June 30, 2025</w:t>
            </w:r>
          </w:p>
        </w:tc>
        <w:tc>
          <w:tcPr>
            <w:tcW w:w="131" w:type="dxa"/>
            <w:tcBorders/>
          </w:tcPr>
          <w:p>
            <w:pPr>
              <w:pStyle w:val="TableContents"/>
              <w:bidi w:val="0"/>
              <w:spacing w:before="0" w:after="283"/>
              <w:jc w:val="right"/>
              <w:rPr/>
            </w:pPr>
            <w:r>
              <w:rPr/>
              <w:t> </w:t>
            </w:r>
          </w:p>
        </w:tc>
        <w:tc>
          <w:tcPr>
            <w:tcW w:w="248" w:type="dxa"/>
            <w:tcBorders/>
          </w:tcPr>
          <w:p>
            <w:pPr>
              <w:pStyle w:val="TableContents"/>
              <w:bidi w:val="0"/>
              <w:spacing w:before="0" w:after="283"/>
              <w:jc w:val="right"/>
              <w:rPr/>
            </w:pPr>
            <w:r>
              <w:rPr/>
              <w:t> </w:t>
            </w:r>
          </w:p>
        </w:tc>
        <w:tc>
          <w:tcPr>
            <w:tcW w:w="860" w:type="dxa"/>
            <w:tcBorders/>
          </w:tcPr>
          <w:p>
            <w:pPr>
              <w:pStyle w:val="TableContents"/>
              <w:bidi w:val="0"/>
              <w:spacing w:before="0" w:after="283"/>
              <w:jc w:val="right"/>
              <w:rPr/>
            </w:pPr>
            <w:r>
              <w:rPr/>
              <w:t> </w:t>
            </w:r>
          </w:p>
        </w:tc>
        <w:tc>
          <w:tcPr>
            <w:tcW w:w="131" w:type="dxa"/>
            <w:tcBorders/>
          </w:tcPr>
          <w:p>
            <w:pPr>
              <w:pStyle w:val="TableContents"/>
              <w:bidi w:val="0"/>
              <w:spacing w:before="0" w:after="283"/>
              <w:jc w:val="right"/>
              <w:rPr/>
            </w:pPr>
            <w:r>
              <w:rPr/>
              <w:t> </w:t>
            </w:r>
          </w:p>
        </w:tc>
        <w:tc>
          <w:tcPr>
            <w:tcW w:w="131" w:type="dxa"/>
            <w:tcBorders/>
          </w:tcPr>
          <w:p>
            <w:pPr>
              <w:pStyle w:val="TableContents"/>
              <w:bidi w:val="0"/>
              <w:spacing w:before="0" w:after="283"/>
              <w:jc w:val="right"/>
              <w:rPr/>
            </w:pPr>
            <w:r>
              <w:rPr/>
              <w:t> </w:t>
            </w:r>
          </w:p>
        </w:tc>
        <w:tc>
          <w:tcPr>
            <w:tcW w:w="434" w:type="dxa"/>
            <w:tcBorders/>
          </w:tcPr>
          <w:p>
            <w:pPr>
              <w:pStyle w:val="TableContents"/>
              <w:bidi w:val="0"/>
              <w:spacing w:before="0" w:after="283"/>
              <w:jc w:val="right"/>
              <w:rPr/>
            </w:pPr>
            <w:r>
              <w:rPr/>
              <w:t> </w:t>
            </w:r>
          </w:p>
        </w:tc>
        <w:tc>
          <w:tcPr>
            <w:tcW w:w="740" w:type="dxa"/>
            <w:tcBorders/>
          </w:tcPr>
          <w:p>
            <w:pPr>
              <w:pStyle w:val="TableContents"/>
              <w:bidi w:val="0"/>
              <w:spacing w:before="0" w:after="283"/>
              <w:jc w:val="right"/>
              <w:rPr/>
            </w:pPr>
            <w:r>
              <w:rPr/>
              <w:t> </w:t>
            </w:r>
          </w:p>
        </w:tc>
        <w:tc>
          <w:tcPr>
            <w:tcW w:w="131" w:type="dxa"/>
            <w:tcBorders/>
          </w:tcPr>
          <w:p>
            <w:pPr>
              <w:pStyle w:val="TableContents"/>
              <w:bidi w:val="0"/>
              <w:spacing w:before="0" w:after="283"/>
              <w:jc w:val="right"/>
              <w:rPr/>
            </w:pPr>
            <w:r>
              <w:rPr/>
              <w:t> </w:t>
            </w:r>
          </w:p>
        </w:tc>
        <w:tc>
          <w:tcPr>
            <w:tcW w:w="131" w:type="dxa"/>
            <w:tcBorders/>
          </w:tcPr>
          <w:p>
            <w:pPr>
              <w:pStyle w:val="TableContents"/>
              <w:bidi w:val="0"/>
              <w:spacing w:before="0" w:after="283"/>
              <w:jc w:val="right"/>
              <w:rPr/>
            </w:pPr>
            <w:r>
              <w:rPr/>
              <w:t> </w:t>
            </w:r>
          </w:p>
        </w:tc>
        <w:tc>
          <w:tcPr>
            <w:tcW w:w="434" w:type="dxa"/>
            <w:tcBorders/>
          </w:tcPr>
          <w:p>
            <w:pPr>
              <w:pStyle w:val="TableContents"/>
              <w:bidi w:val="0"/>
              <w:spacing w:before="0" w:after="283"/>
              <w:jc w:val="right"/>
              <w:rPr/>
            </w:pPr>
            <w:r>
              <w:rPr/>
              <w:t> </w:t>
            </w:r>
          </w:p>
        </w:tc>
        <w:tc>
          <w:tcPr>
            <w:tcW w:w="740" w:type="dxa"/>
            <w:tcBorders/>
          </w:tcPr>
          <w:p>
            <w:pPr>
              <w:pStyle w:val="TableContents"/>
              <w:bidi w:val="0"/>
              <w:spacing w:before="0" w:after="283"/>
              <w:jc w:val="right"/>
              <w:rPr/>
            </w:pPr>
            <w:r>
              <w:rPr/>
              <w:t> </w:t>
            </w:r>
          </w:p>
        </w:tc>
        <w:tc>
          <w:tcPr>
            <w:tcW w:w="131" w:type="dxa"/>
            <w:tcBorders/>
          </w:tcPr>
          <w:p>
            <w:pPr>
              <w:pStyle w:val="TableContents"/>
              <w:bidi w:val="0"/>
              <w:spacing w:before="0" w:after="283"/>
              <w:jc w:val="right"/>
              <w:rPr/>
            </w:pPr>
            <w:r>
              <w:rPr/>
              <w:t> </w:t>
            </w:r>
          </w:p>
        </w:tc>
        <w:tc>
          <w:tcPr>
            <w:tcW w:w="131" w:type="dxa"/>
            <w:tcBorders/>
          </w:tcPr>
          <w:p>
            <w:pPr>
              <w:pStyle w:val="TableContents"/>
              <w:bidi w:val="0"/>
              <w:spacing w:before="0" w:after="283"/>
              <w:jc w:val="right"/>
              <w:rPr/>
            </w:pPr>
            <w:r>
              <w:rPr/>
              <w:t> </w:t>
            </w:r>
          </w:p>
        </w:tc>
        <w:tc>
          <w:tcPr>
            <w:tcW w:w="960" w:type="dxa"/>
            <w:tcBorders/>
          </w:tcPr>
          <w:p>
            <w:pPr>
              <w:pStyle w:val="TableContents"/>
              <w:bidi w:val="0"/>
              <w:spacing w:before="0" w:after="283"/>
              <w:jc w:val="right"/>
              <w:rPr/>
            </w:pPr>
            <w:r>
              <w:rPr/>
              <w:t> </w:t>
            </w:r>
          </w:p>
        </w:tc>
        <w:tc>
          <w:tcPr>
            <w:tcW w:w="709" w:type="dxa"/>
            <w:tcBorders/>
          </w:tcPr>
          <w:p>
            <w:pPr>
              <w:pStyle w:val="TableContents"/>
              <w:bidi w:val="0"/>
              <w:spacing w:before="0" w:after="283"/>
              <w:jc w:val="right"/>
              <w:rPr/>
            </w:pPr>
            <w:r>
              <w:rPr/>
              <w:t> </w:t>
            </w:r>
          </w:p>
        </w:tc>
        <w:tc>
          <w:tcPr>
            <w:tcW w:w="196" w:type="dxa"/>
            <w:tcBorders/>
          </w:tcPr>
          <w:p>
            <w:pPr>
              <w:pStyle w:val="TableContents"/>
              <w:bidi w:val="0"/>
              <w:spacing w:before="0" w:after="283"/>
              <w:jc w:val="right"/>
              <w:rPr/>
            </w:pPr>
            <w:r>
              <w:rPr/>
              <w:t> </w:t>
            </w:r>
          </w:p>
        </w:tc>
      </w:tr>
      <w:tr>
        <w:trPr/>
        <w:tc>
          <w:tcPr>
            <w:tcW w:w="2045"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Residential</w:t>
            </w:r>
          </w:p>
        </w:tc>
        <w:tc>
          <w:tcPr>
            <w:tcW w:w="13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24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6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1,692</w:t>
            </w:r>
          </w:p>
        </w:tc>
        <w:tc>
          <w:tcPr>
            <w:tcW w:w="13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434"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74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11</w:t>
            </w:r>
          </w:p>
        </w:tc>
        <w:tc>
          <w:tcPr>
            <w:tcW w:w="13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434"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74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58</w:t>
            </w:r>
          </w:p>
        </w:tc>
        <w:tc>
          <w:tcPr>
            <w:tcW w:w="13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1"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w:t>
            </w:r>
          </w:p>
        </w:tc>
        <w:tc>
          <w:tcPr>
            <w:tcW w:w="96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709"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96"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2045" w:type="dxa"/>
            <w:tcBorders>
              <w:bottom w:val="double" w:sz="8" w:space="0" w:color="000000"/>
            </w:tcBorders>
            <w:tcMar>
              <w:bottom w:w="28" w:type="dxa"/>
            </w:tcMar>
          </w:tcPr>
          <w:p>
            <w:pPr>
              <w:pStyle w:val="TableContents"/>
              <w:bidi w:val="0"/>
              <w:spacing w:before="0" w:after="0"/>
              <w:ind w:left="0" w:right="0" w:hanging="0"/>
              <w:jc w:val="both"/>
              <w:rPr/>
            </w:pPr>
            <w:r>
              <w:rPr/>
              <w:t xml:space="preserve">Total </w:t>
            </w:r>
          </w:p>
        </w:tc>
        <w:tc>
          <w:tcPr>
            <w:tcW w:w="131"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248"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860" w:type="dxa"/>
            <w:tcBorders>
              <w:bottom w:val="double" w:sz="8" w:space="0" w:color="000000"/>
            </w:tcBorders>
            <w:tcMar>
              <w:bottom w:w="28" w:type="dxa"/>
            </w:tcMar>
          </w:tcPr>
          <w:p>
            <w:pPr>
              <w:pStyle w:val="TableContents"/>
              <w:bidi w:val="0"/>
              <w:spacing w:before="0" w:after="0"/>
              <w:ind w:left="0" w:right="0" w:hanging="0"/>
              <w:jc w:val="right"/>
              <w:rPr/>
            </w:pPr>
            <w:r>
              <w:rPr/>
              <w:t>1,692</w:t>
            </w:r>
          </w:p>
        </w:tc>
        <w:tc>
          <w:tcPr>
            <w:tcW w:w="131"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31"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434"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740" w:type="dxa"/>
            <w:tcBorders>
              <w:bottom w:val="double" w:sz="8" w:space="0" w:color="000000"/>
            </w:tcBorders>
            <w:tcMar>
              <w:bottom w:w="28" w:type="dxa"/>
            </w:tcMar>
          </w:tcPr>
          <w:p>
            <w:pPr>
              <w:pStyle w:val="TableContents"/>
              <w:bidi w:val="0"/>
              <w:spacing w:before="0" w:after="0"/>
              <w:ind w:left="0" w:right="0" w:hanging="0"/>
              <w:jc w:val="right"/>
              <w:rPr/>
            </w:pPr>
            <w:r>
              <w:rPr/>
              <w:t>11</w:t>
            </w:r>
          </w:p>
        </w:tc>
        <w:tc>
          <w:tcPr>
            <w:tcW w:w="131"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31"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434"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740" w:type="dxa"/>
            <w:tcBorders>
              <w:bottom w:val="double" w:sz="8" w:space="0" w:color="000000"/>
            </w:tcBorders>
            <w:tcMar>
              <w:bottom w:w="28" w:type="dxa"/>
            </w:tcMar>
          </w:tcPr>
          <w:p>
            <w:pPr>
              <w:pStyle w:val="TableContents"/>
              <w:bidi w:val="0"/>
              <w:spacing w:before="0" w:after="0"/>
              <w:ind w:left="0" w:right="0" w:hanging="0"/>
              <w:jc w:val="right"/>
              <w:rPr/>
            </w:pPr>
            <w:r>
              <w:rPr/>
              <w:t>58</w:t>
            </w:r>
          </w:p>
        </w:tc>
        <w:tc>
          <w:tcPr>
            <w:tcW w:w="131"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31" w:type="dxa"/>
            <w:tcBorders>
              <w:bottom w:val="double" w:sz="8" w:space="0" w:color="000000"/>
            </w:tcBorders>
            <w:tcMar>
              <w:bottom w:w="28" w:type="dxa"/>
            </w:tcMar>
          </w:tcPr>
          <w:p>
            <w:pPr>
              <w:pStyle w:val="TableContents"/>
              <w:bidi w:val="0"/>
              <w:spacing w:before="0" w:after="0"/>
              <w:ind w:left="0" w:right="0" w:hanging="0"/>
              <w:jc w:val="right"/>
              <w:rPr/>
            </w:pPr>
            <w:r>
              <w:rPr/>
              <w:t> </w:t>
            </w:r>
          </w:p>
        </w:tc>
        <w:tc>
          <w:tcPr>
            <w:tcW w:w="960" w:type="dxa"/>
            <w:tcBorders>
              <w:bottom w:val="double" w:sz="8" w:space="0" w:color="000000"/>
            </w:tcBorders>
            <w:tcMar>
              <w:bottom w:w="28" w:type="dxa"/>
            </w:tcMar>
          </w:tcPr>
          <w:p>
            <w:pPr>
              <w:pStyle w:val="TableContents"/>
              <w:bidi w:val="0"/>
              <w:spacing w:before="0" w:after="0"/>
              <w:ind w:left="0" w:right="0" w:hanging="0"/>
              <w:jc w:val="left"/>
              <w:rPr/>
            </w:pPr>
            <w:r>
              <w:rPr/>
              <w:t>$</w:t>
            </w:r>
          </w:p>
        </w:tc>
        <w:tc>
          <w:tcPr>
            <w:tcW w:w="709" w:type="dxa"/>
            <w:tcBorders>
              <w:bottom w:val="double" w:sz="8" w:space="0" w:color="000000"/>
            </w:tcBorders>
            <w:tcMar>
              <w:bottom w:w="28" w:type="dxa"/>
            </w:tcMar>
          </w:tcPr>
          <w:p>
            <w:pPr>
              <w:pStyle w:val="TableContents"/>
              <w:bidi w:val="0"/>
              <w:spacing w:before="0" w:after="0"/>
              <w:ind w:left="0" w:right="0" w:hanging="0"/>
              <w:jc w:val="right"/>
              <w:rPr/>
            </w:pPr>
            <w:r>
              <w:rPr/>
              <w:t xml:space="preserve">- </w:t>
            </w:r>
          </w:p>
        </w:tc>
        <w:tc>
          <w:tcPr>
            <w:tcW w:w="196" w:type="dxa"/>
            <w:tcBorders>
              <w:bottom w:val="double" w:sz="8" w:space="0" w:color="000000"/>
            </w:tcBorders>
            <w:tcMar>
              <w:bottom w:w="28" w:type="dxa"/>
            </w:tcMar>
          </w:tcPr>
          <w:p>
            <w:pPr>
              <w:pStyle w:val="TableContents"/>
              <w:bidi w:val="0"/>
              <w:spacing w:before="0" w:after="0"/>
              <w:jc w:val="left"/>
              <w:rPr/>
            </w:pPr>
            <w:r>
              <w:rPr/>
              <w:t> </w:t>
            </w:r>
          </w:p>
        </w:tc>
      </w:tr>
    </w:tbl>
    <w:p>
      <w:pPr>
        <w:pStyle w:val="TextBody"/>
        <w:bidi w:val="0"/>
        <w:spacing w:before="0" w:after="0"/>
        <w:jc w:val="both"/>
        <w:rPr/>
      </w:pPr>
      <w:r>
        <w:rPr/>
        <w:t>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8. Borrowings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Short-Term Borrowings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to the liquidity provided by balance sheet cash flows, liquidity must also be supplemented with additional sources such as credit lines from correspondent banks as well as borrowings from the Federal Home Loan Bank (“FHLB”) and the Federal Reserve Bank. Other funding alternatives may also be appropriate from time to time, including wholesale and retail repurchase agreements and brokered certificate of deposit accounts.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related to short-term borrowings is summarized as follows: </w:t>
      </w:r>
    </w:p>
    <w:p>
      <w:pPr>
        <w:pStyle w:val="TextBody"/>
        <w:bidi w:val="0"/>
        <w:spacing w:before="0" w:after="0"/>
        <w:jc w:val="both"/>
        <w:rPr/>
      </w:pPr>
      <w:r>
        <w:rPr/>
        <w:t xml:space="preserve">  </w:t>
      </w:r>
    </w:p>
    <w:tbl>
      <w:tblPr>
        <w:tblW w:w="8248" w:type="dxa"/>
        <w:jc w:val="left"/>
        <w:tblInd w:w="0" w:type="dxa"/>
        <w:tblLayout w:type="fixed"/>
        <w:tblCellMar>
          <w:top w:w="0" w:type="dxa"/>
          <w:left w:w="0" w:type="dxa"/>
          <w:bottom w:w="0" w:type="dxa"/>
          <w:right w:w="0" w:type="dxa"/>
        </w:tblCellMar>
      </w:tblPr>
      <w:tblGrid>
        <w:gridCol w:w="4295"/>
        <w:gridCol w:w="90"/>
        <w:gridCol w:w="255"/>
        <w:gridCol w:w="1249"/>
        <w:gridCol w:w="90"/>
        <w:gridCol w:w="90"/>
        <w:gridCol w:w="346"/>
        <w:gridCol w:w="1698"/>
        <w:gridCol w:w="135"/>
      </w:tblGrid>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95" w:type="dxa"/>
            <w:tcBorders>
              <w:bottom w:val="single" w:sz="12" w:space="0" w:color="000000"/>
            </w:tcBorders>
            <w:tcMar>
              <w:bottom w:w="28" w:type="dxa"/>
            </w:tcMar>
            <w:vAlign w:val="center"/>
          </w:tcPr>
          <w:p>
            <w:pPr>
              <w:pStyle w:val="TableContents"/>
              <w:bidi w:val="0"/>
              <w:spacing w:before="0" w:after="283"/>
              <w:jc w:val="both"/>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right"/>
              <w:rPr/>
            </w:pPr>
            <w:r>
              <w:rPr/>
              <w:t> </w:t>
            </w:r>
          </w:p>
        </w:tc>
      </w:tr>
      <w:tr>
        <w:trPr/>
        <w:tc>
          <w:tcPr>
            <w:tcW w:w="4295" w:type="dxa"/>
            <w:tcBorders/>
            <w:shd w:fill="CCEEFF" w:val="clear"/>
            <w:vAlign w:val="center"/>
          </w:tcPr>
          <w:p>
            <w:pPr>
              <w:pStyle w:val="TableContents"/>
              <w:bidi w:val="0"/>
              <w:spacing w:before="0" w:after="283"/>
              <w:jc w:val="both"/>
              <w:rPr/>
            </w:pPr>
            <w:r>
              <w:rPr/>
              <w:t xml:space="preserve">Federal funds purchased </w:t>
            </w:r>
          </w:p>
        </w:tc>
        <w:tc>
          <w:tcPr>
            <w:tcW w:w="9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1249" w:type="dxa"/>
            <w:tcBorders/>
            <w:shd w:fill="CCEEFF" w:val="clear"/>
            <w:vAlign w:val="center"/>
          </w:tcPr>
          <w:p>
            <w:pPr>
              <w:pStyle w:val="TableContents"/>
              <w:bidi w:val="0"/>
              <w:spacing w:before="0" w:after="283"/>
              <w:jc w:val="right"/>
              <w:rPr>
                <w:b/>
              </w:rPr>
            </w:pPr>
            <w:r>
              <w:rPr>
                <w:b/>
              </w:rPr>
              <w:t>40,000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46" w:type="dxa"/>
            <w:tcBorders/>
            <w:shd w:fill="CCEEFF" w:val="clear"/>
            <w:vAlign w:val="center"/>
          </w:tcPr>
          <w:p>
            <w:pPr>
              <w:pStyle w:val="TableContents"/>
              <w:bidi w:val="0"/>
              <w:spacing w:before="0" w:after="283"/>
              <w:jc w:val="left"/>
              <w:rPr/>
            </w:pPr>
            <w:r>
              <w:rPr/>
              <w:t>$</w:t>
            </w:r>
          </w:p>
        </w:tc>
        <w:tc>
          <w:tcPr>
            <w:tcW w:w="1698"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both"/>
              <w:rPr/>
            </w:pPr>
            <w:r>
              <w:rPr/>
              <w:t xml:space="preserve">Securities sold under repurchase agreements </w:t>
            </w:r>
          </w:p>
        </w:tc>
        <w:tc>
          <w:tcPr>
            <w:tcW w:w="9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b/>
              </w:rPr>
            </w:pPr>
            <w:r>
              <w:rPr>
                <w:b/>
              </w:rPr>
              <w:t>119,438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148,069</w:t>
            </w:r>
          </w:p>
        </w:tc>
        <w:tc>
          <w:tcPr>
            <w:tcW w:w="135" w:type="dxa"/>
            <w:tcBorders/>
            <w:vAlign w:val="center"/>
          </w:tcPr>
          <w:p>
            <w:pPr>
              <w:pStyle w:val="TableContents"/>
              <w:bidi w:val="0"/>
              <w:spacing w:before="0" w:after="283"/>
              <w:jc w:val="left"/>
              <w:rPr/>
            </w:pPr>
            <w:r>
              <w:rPr/>
              <w:t> </w:t>
            </w:r>
          </w:p>
        </w:tc>
      </w:tr>
      <w:tr>
        <w:trPr/>
        <w:tc>
          <w:tcPr>
            <w:tcW w:w="4295"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Other short-term borrowings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157,000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8"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295" w:type="dxa"/>
            <w:tcBorders>
              <w:bottom w:val="double" w:sz="8" w:space="0" w:color="000000"/>
            </w:tcBorders>
            <w:tcMar>
              <w:bottom w:w="28" w:type="dxa"/>
            </w:tcMar>
            <w:vAlign w:val="center"/>
          </w:tcPr>
          <w:p>
            <w:pPr>
              <w:pStyle w:val="TableContents"/>
              <w:bidi w:val="0"/>
              <w:spacing w:before="0" w:after="283"/>
              <w:jc w:val="both"/>
              <w:rPr/>
            </w:pPr>
            <w:r>
              <w:rPr/>
              <w:t xml:space="preserve">Total short-term borrowings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55"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249" w:type="dxa"/>
            <w:tcBorders>
              <w:bottom w:val="double" w:sz="8" w:space="0" w:color="000000"/>
            </w:tcBorders>
            <w:tcMar>
              <w:bottom w:w="28" w:type="dxa"/>
            </w:tcMar>
            <w:vAlign w:val="center"/>
          </w:tcPr>
          <w:p>
            <w:pPr>
              <w:pStyle w:val="TableContents"/>
              <w:bidi w:val="0"/>
              <w:spacing w:before="0" w:after="283"/>
              <w:jc w:val="right"/>
              <w:rPr>
                <w:b/>
              </w:rPr>
            </w:pPr>
            <w:r>
              <w:rPr>
                <w:b/>
              </w:rPr>
              <w:t>316,438</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346" w:type="dxa"/>
            <w:tcBorders>
              <w:bottom w:val="double" w:sz="8" w:space="0" w:color="000000"/>
            </w:tcBorders>
            <w:tcMar>
              <w:bottom w:w="28" w:type="dxa"/>
            </w:tcMar>
            <w:vAlign w:val="center"/>
          </w:tcPr>
          <w:p>
            <w:pPr>
              <w:pStyle w:val="TableContents"/>
              <w:bidi w:val="0"/>
              <w:spacing w:before="0" w:after="283"/>
              <w:jc w:val="left"/>
              <w:rPr/>
            </w:pPr>
            <w:r>
              <w:rPr/>
              <w:t>$</w:t>
            </w:r>
          </w:p>
        </w:tc>
        <w:tc>
          <w:tcPr>
            <w:tcW w:w="1698" w:type="dxa"/>
            <w:tcBorders>
              <w:bottom w:val="double" w:sz="8" w:space="0" w:color="000000"/>
            </w:tcBorders>
            <w:tcMar>
              <w:bottom w:w="28" w:type="dxa"/>
            </w:tcMar>
            <w:vAlign w:val="center"/>
          </w:tcPr>
          <w:p>
            <w:pPr>
              <w:pStyle w:val="TableContents"/>
              <w:bidi w:val="0"/>
              <w:spacing w:before="0" w:after="283"/>
              <w:jc w:val="right"/>
              <w:rPr/>
            </w:pPr>
            <w:r>
              <w:rPr/>
              <w:t>148,069</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See Note 5 for additional information regarding securities pledged as collateral for securities sold under the repurchase agreements.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Subordinated Debt</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subordinated notes assumed in connection with the Salisbury Bancorp, Inc. acquisition included $25.0 million of 3.50% fixed-to-floating rate subordinated notes due 2031. The subordinated notes, which qualified as Tier 2 capital, had a maturity date of March 31, 2031 and bore interest at an annual rate of 3.50%, payable quarterly in arrears commencing on June 30, 2021, and a floating rate of interest equivalent to the three-month Secured Overnight Financing Rate (“SOFR”) plus a spread of 2.80%, payable quarterly in arrears commencing on June 30, 2026. The subordinated notes were redeemable, without penalty, on or after March 31, 2026. On June 30, 2026, the Company redeemed these subordinated notes in full using existing liquidity sources.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summarizes the Company’s subordinated debt: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7472"/>
        <w:gridCol w:w="90"/>
        <w:gridCol w:w="487"/>
        <w:gridCol w:w="358"/>
        <w:gridCol w:w="90"/>
        <w:gridCol w:w="90"/>
        <w:gridCol w:w="266"/>
        <w:gridCol w:w="1119"/>
        <w:gridCol w:w="233"/>
      </w:tblGrid>
      <w:tr>
        <w:trPr/>
        <w:tc>
          <w:tcPr>
            <w:tcW w:w="74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7472" w:type="dxa"/>
            <w:tcBorders>
              <w:bottom w:val="single" w:sz="12" w:space="0" w:color="000000"/>
            </w:tcBorders>
            <w:tcMar>
              <w:bottom w:w="28" w:type="dxa"/>
            </w:tcMar>
            <w:vAlign w:val="center"/>
          </w:tcPr>
          <w:p>
            <w:pPr>
              <w:pStyle w:val="TableContents"/>
              <w:bidi w:val="0"/>
              <w:spacing w:before="0" w:after="283"/>
              <w:jc w:val="both"/>
              <w:rPr/>
            </w:pPr>
            <w:r>
              <w:rPr>
                <w:i/>
              </w:rPr>
              <w:t>(Dollars 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233"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472" w:type="dxa"/>
            <w:tcBorders/>
            <w:shd w:fill="CCEEFF" w:val="clear"/>
            <w:vAlign w:val="center"/>
          </w:tcPr>
          <w:p>
            <w:pPr>
              <w:pStyle w:val="TableContents"/>
              <w:bidi w:val="0"/>
              <w:spacing w:before="0" w:after="0"/>
              <w:ind w:left="0" w:right="0" w:hanging="144"/>
              <w:jc w:val="left"/>
              <w:rPr/>
            </w:pPr>
            <w:r>
              <w:rPr/>
              <w:t xml:space="preserve">Subordinated notes issued March 2021 and acquired August 2023 - fixed interest rate of 3.50% through June 2026 and a variable interest rate equivalent to three-month SOFR plus 2.80% thereafter, maturing March 31, 2031 </w:t>
            </w:r>
          </w:p>
        </w:tc>
        <w:tc>
          <w:tcPr>
            <w:tcW w:w="90" w:type="dxa"/>
            <w:tcBorders/>
            <w:shd w:fill="CCEEFF" w:val="clear"/>
            <w:vAlign w:val="center"/>
          </w:tcPr>
          <w:p>
            <w:pPr>
              <w:pStyle w:val="TableContents"/>
              <w:bidi w:val="0"/>
              <w:spacing w:before="0" w:after="283"/>
              <w:jc w:val="right"/>
              <w:rPr/>
            </w:pPr>
            <w:r>
              <w:rPr/>
              <w:t> </w:t>
            </w:r>
          </w:p>
        </w:tc>
        <w:tc>
          <w:tcPr>
            <w:tcW w:w="487" w:type="dxa"/>
            <w:tcBorders/>
            <w:shd w:fill="CCEEFF" w:val="clear"/>
            <w:vAlign w:val="center"/>
          </w:tcPr>
          <w:p>
            <w:pPr>
              <w:pStyle w:val="TableContents"/>
              <w:bidi w:val="0"/>
              <w:spacing w:before="0" w:after="283"/>
              <w:jc w:val="left"/>
              <w:rPr>
                <w:b/>
              </w:rPr>
            </w:pPr>
            <w:r>
              <w:rPr>
                <w:b/>
              </w:rPr>
              <w:t>$</w:t>
            </w:r>
          </w:p>
        </w:tc>
        <w:tc>
          <w:tcPr>
            <w:tcW w:w="358"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25,000</w:t>
            </w:r>
          </w:p>
        </w:tc>
        <w:tc>
          <w:tcPr>
            <w:tcW w:w="233" w:type="dxa"/>
            <w:tcBorders/>
            <w:shd w:fill="CCEEFF" w:val="clear"/>
            <w:vAlign w:val="center"/>
          </w:tcPr>
          <w:p>
            <w:pPr>
              <w:pStyle w:val="TableContents"/>
              <w:bidi w:val="0"/>
              <w:spacing w:before="0" w:after="283"/>
              <w:jc w:val="left"/>
              <w:rPr/>
            </w:pPr>
            <w:r>
              <w:rPr/>
              <w:t> </w:t>
            </w:r>
          </w:p>
        </w:tc>
      </w:tr>
      <w:tr>
        <w:trPr/>
        <w:tc>
          <w:tcPr>
            <w:tcW w:w="7472"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Unamortized debt issuance costs and unamortized fair value discount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487" w:type="dxa"/>
            <w:tcBorders>
              <w:bottom w:val="single" w:sz="12" w:space="0" w:color="000000"/>
            </w:tcBorders>
            <w:tcMar>
              <w:bottom w:w="28" w:type="dxa"/>
            </w:tcMar>
            <w:vAlign w:val="center"/>
          </w:tcPr>
          <w:p>
            <w:pPr>
              <w:pStyle w:val="TableContents"/>
              <w:bidi w:val="0"/>
              <w:spacing w:before="0" w:after="283"/>
              <w:jc w:val="left"/>
              <w:rPr/>
            </w:pPr>
            <w:r>
              <w:rPr/>
              <w:t> </w:t>
            </w:r>
          </w:p>
        </w:tc>
        <w:tc>
          <w:tcPr>
            <w:tcW w:w="358"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tcMar>
              <w:bottom w:w="28" w:type="dxa"/>
            </w:tcMar>
            <w:vAlign w:val="center"/>
          </w:tcPr>
          <w:p>
            <w:pPr>
              <w:pStyle w:val="TableContents"/>
              <w:bidi w:val="0"/>
              <w:spacing w:before="0" w:after="283"/>
              <w:jc w:val="right"/>
              <w:rPr/>
            </w:pPr>
            <w:r>
              <w:rPr/>
              <w:t>(491</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72"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subordinated debt, net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87"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3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24,509</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9. Defined Benefit Post-Retirement Plans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has a qualified, noncontributory, defined benefit pension plan (the “Plan”) covering substantially all of its employees at June 30, 2026. Benefits paid from the Plan are based on age, years of service, compensation and social security benefits and are determined in accordance with defined formulas. The Company’s policy is to fund the Plan in accordance with Employee Retirement Income Security Act of 1974 standards. Assets of the Plan are invested in publicly traded stocks, bonds and mutual funds. In addition to the Plan, the Company provides supplemental employee retirement plans to certain current and former executives. These supplemental employee retirement plans and the Plan are collectively referred to herein as “Pension Benefits.”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the Company provides certain health care benefits for retired employees. Benefits were accrued over the employees’ active service period. Only employees that were employed by the Company on or before January 1, 2000 are eligible to receive post-retirement health care benefits. These post-retirement benefits are referred to herein as “Other Benefits.”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connection with the Evans acquisition, the Company assumed the non-contributory, qualified, defined benefit pension plan and the nonqualified supplemental executive retirement plans. Effective May 2, 2025, the Evans defined benefit pension plan was merged into the Plan. The merging of the plans required a valuation as of the merger date and resulted in a $0.9 million adjustment to AOCI. The merging of the plans did not have a significant impact on the Company’s financial statements and related footnotes.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Accounting standards require an employer to: (1) recognize the overfunded or underfunded status of defined benefit post-retirement plans, which is measured as the difference between plan assets at fair value and the benefit obligation, as an asset or liability in its balance sheet; (2) recognize changes in that funded status in the year in which the changes occur through comprehensive income; and (3) measure the defined benefit plan assets and obligations as of the date of its year-end balance sheet.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made no voluntary contributions to the Pension Benefits and Other Benefits plans during the three and six months ended June 30, 2026 and 2025.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components of expense for Pension Benefits and Other Benefits are set forth below: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913"/>
        <w:gridCol w:w="127"/>
        <w:gridCol w:w="241"/>
        <w:gridCol w:w="943"/>
        <w:gridCol w:w="261"/>
        <w:gridCol w:w="127"/>
        <w:gridCol w:w="241"/>
        <w:gridCol w:w="943"/>
        <w:gridCol w:w="261"/>
        <w:gridCol w:w="197"/>
        <w:gridCol w:w="380"/>
        <w:gridCol w:w="641"/>
        <w:gridCol w:w="197"/>
        <w:gridCol w:w="197"/>
        <w:gridCol w:w="380"/>
        <w:gridCol w:w="641"/>
        <w:gridCol w:w="515"/>
      </w:tblGrid>
      <w:tr>
        <w:trPr/>
        <w:tc>
          <w:tcPr>
            <w:tcW w:w="391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3913" w:type="dxa"/>
            <w:tcBorders/>
            <w:vAlign w:val="center"/>
          </w:tcPr>
          <w:p>
            <w:pPr>
              <w:pStyle w:val="TableContents"/>
              <w:bidi w:val="0"/>
              <w:spacing w:before="0" w:after="283"/>
              <w:jc w:val="left"/>
              <w:rPr/>
            </w:pPr>
            <w:r>
              <w:rPr/>
              <w:t> </w:t>
            </w:r>
          </w:p>
        </w:tc>
        <w:tc>
          <w:tcPr>
            <w:tcW w:w="3144" w:type="dxa"/>
            <w:gridSpan w:val="8"/>
            <w:tcBorders>
              <w:bottom w:val="single" w:sz="12" w:space="0" w:color="000000"/>
            </w:tcBorders>
            <w:tcMar>
              <w:bottom w:w="28" w:type="dxa"/>
            </w:tcMar>
            <w:vAlign w:val="center"/>
          </w:tcPr>
          <w:p>
            <w:pPr>
              <w:pStyle w:val="TableContents"/>
              <w:bidi w:val="0"/>
              <w:spacing w:before="0" w:after="283"/>
              <w:jc w:val="center"/>
              <w:rPr/>
            </w:pPr>
            <w:r>
              <w:rPr>
                <w:b/>
              </w:rPr>
              <w:t>Pension Benefits</w:t>
            </w:r>
            <w:r>
              <w:rPr/>
              <w:t xml:space="preserve"> </w:t>
            </w:r>
          </w:p>
        </w:tc>
        <w:tc>
          <w:tcPr>
            <w:tcW w:w="3148" w:type="dxa"/>
            <w:gridSpan w:val="8"/>
            <w:tcBorders>
              <w:bottom w:val="single" w:sz="12" w:space="0" w:color="000000"/>
            </w:tcBorders>
            <w:tcMar>
              <w:bottom w:w="28" w:type="dxa"/>
            </w:tcMar>
            <w:vAlign w:val="center"/>
          </w:tcPr>
          <w:p>
            <w:pPr>
              <w:pStyle w:val="TableContents"/>
              <w:bidi w:val="0"/>
              <w:spacing w:before="0" w:after="283"/>
              <w:jc w:val="center"/>
              <w:rPr/>
            </w:pPr>
            <w:r>
              <w:rPr>
                <w:b/>
              </w:rPr>
              <w:t>Other Benefits</w:t>
            </w:r>
            <w:r>
              <w:rPr/>
              <w:t xml:space="preserve"> </w:t>
            </w:r>
          </w:p>
        </w:tc>
      </w:tr>
      <w:tr>
        <w:trPr/>
        <w:tc>
          <w:tcPr>
            <w:tcW w:w="3913" w:type="dxa"/>
            <w:tcBorders/>
            <w:vAlign w:val="center"/>
          </w:tcPr>
          <w:p>
            <w:pPr>
              <w:pStyle w:val="TableContents"/>
              <w:bidi w:val="0"/>
              <w:spacing w:before="0" w:after="283"/>
              <w:jc w:val="left"/>
              <w:rPr/>
            </w:pPr>
            <w:r>
              <w:rPr/>
              <w:t> </w:t>
            </w:r>
          </w:p>
        </w:tc>
        <w:tc>
          <w:tcPr>
            <w:tcW w:w="3144" w:type="dxa"/>
            <w:gridSpan w:val="8"/>
            <w:tcBorders>
              <w:bottom w:val="single" w:sz="12" w:space="0" w:color="000000"/>
            </w:tcBorders>
            <w:tcMar>
              <w:bottom w:w="28" w:type="dxa"/>
            </w:tcMar>
            <w:vAlign w:val="center"/>
          </w:tcPr>
          <w:p>
            <w:pPr>
              <w:pStyle w:val="TableContents"/>
              <w:bidi w:val="0"/>
              <w:spacing w:before="0" w:after="283"/>
              <w:jc w:val="center"/>
              <w:rPr/>
            </w:pPr>
            <w:r>
              <w:rPr>
                <w:b/>
              </w:rPr>
              <w:t>Three Months Ended June 30,</w:t>
            </w:r>
            <w:r>
              <w:rPr/>
              <w:t xml:space="preserve"> </w:t>
            </w:r>
          </w:p>
        </w:tc>
        <w:tc>
          <w:tcPr>
            <w:tcW w:w="3148" w:type="dxa"/>
            <w:gridSpan w:val="8"/>
            <w:tcBorders>
              <w:bottom w:val="single" w:sz="12" w:space="0" w:color="000000"/>
            </w:tcBorders>
            <w:tcMar>
              <w:bottom w:w="28" w:type="dxa"/>
            </w:tcMar>
            <w:vAlign w:val="center"/>
          </w:tcPr>
          <w:p>
            <w:pPr>
              <w:pStyle w:val="TableContents"/>
              <w:bidi w:val="0"/>
              <w:spacing w:before="0" w:after="283"/>
              <w:jc w:val="center"/>
              <w:rPr/>
            </w:pPr>
            <w:r>
              <w:rPr>
                <w:b/>
              </w:rPr>
              <w:t>Three Months Ended June 30,</w:t>
            </w:r>
            <w:r>
              <w:rPr/>
              <w:t xml:space="preserve"> </w:t>
            </w:r>
          </w:p>
        </w:tc>
      </w:tr>
      <w:tr>
        <w:trPr/>
        <w:tc>
          <w:tcPr>
            <w:tcW w:w="3913" w:type="dxa"/>
            <w:tcBorders>
              <w:bottom w:val="single" w:sz="12" w:space="0" w:color="000000"/>
            </w:tcBorders>
            <w:tcMar>
              <w:bottom w:w="28" w:type="dxa"/>
            </w:tcMar>
            <w:vAlign w:val="center"/>
          </w:tcPr>
          <w:p>
            <w:pPr>
              <w:pStyle w:val="TableContents"/>
              <w:bidi w:val="0"/>
              <w:spacing w:before="0" w:after="0"/>
              <w:jc w:val="left"/>
              <w:rPr/>
            </w:pPr>
            <w:r>
              <w:rPr>
                <w:i/>
              </w:rPr>
              <w:t>(In thousands)</w:t>
            </w:r>
            <w:r>
              <w:rPr/>
              <w:t xml:space="preserve"> </w:t>
            </w:r>
          </w:p>
        </w:tc>
        <w:tc>
          <w:tcPr>
            <w:tcW w:w="12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261"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61"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9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9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515" w:type="dxa"/>
            <w:tcBorders>
              <w:bottom w:val="single" w:sz="12" w:space="0" w:color="000000"/>
            </w:tcBorders>
            <w:tcMar>
              <w:bottom w:w="28" w:type="dxa"/>
            </w:tcMar>
            <w:vAlign w:val="center"/>
          </w:tcPr>
          <w:p>
            <w:pPr>
              <w:pStyle w:val="TableContents"/>
              <w:bidi w:val="0"/>
              <w:spacing w:before="0" w:after="283"/>
              <w:jc w:val="right"/>
              <w:rPr/>
            </w:pPr>
            <w:r>
              <w:rPr/>
              <w:t> </w:t>
            </w:r>
          </w:p>
        </w:tc>
      </w:tr>
      <w:tr>
        <w:trPr/>
        <w:tc>
          <w:tcPr>
            <w:tcW w:w="3913" w:type="dxa"/>
            <w:tcBorders/>
            <w:vAlign w:val="center"/>
          </w:tcPr>
          <w:p>
            <w:pPr>
              <w:pStyle w:val="TableContents"/>
              <w:bidi w:val="0"/>
              <w:spacing w:before="0" w:after="0"/>
              <w:jc w:val="left"/>
              <w:rPr/>
            </w:pPr>
            <w:r>
              <w:rPr/>
              <w:t xml:space="preserve">Components of net periodic (benefit) cost: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3913" w:type="dxa"/>
            <w:tcBorders/>
            <w:shd w:fill="CCEEFF" w:val="clear"/>
            <w:vAlign w:val="center"/>
          </w:tcPr>
          <w:p>
            <w:pPr>
              <w:pStyle w:val="TableContents"/>
              <w:bidi w:val="0"/>
              <w:spacing w:before="0" w:after="0"/>
              <w:jc w:val="left"/>
              <w:rPr/>
            </w:pPr>
            <w:r>
              <w:rPr/>
              <w:t xml:space="preserve">Service cost </w:t>
            </w:r>
          </w:p>
        </w:tc>
        <w:tc>
          <w:tcPr>
            <w:tcW w:w="127"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b/>
              </w:rPr>
            </w:pPr>
            <w:r>
              <w:rPr>
                <w:b/>
              </w:rPr>
              <w:t>$</w:t>
            </w:r>
          </w:p>
        </w:tc>
        <w:tc>
          <w:tcPr>
            <w:tcW w:w="943" w:type="dxa"/>
            <w:tcBorders/>
            <w:shd w:fill="CCEEFF" w:val="clear"/>
            <w:vAlign w:val="center"/>
          </w:tcPr>
          <w:p>
            <w:pPr>
              <w:pStyle w:val="TableContents"/>
              <w:bidi w:val="0"/>
              <w:spacing w:before="0" w:after="283"/>
              <w:jc w:val="right"/>
              <w:rPr>
                <w:b/>
              </w:rPr>
            </w:pPr>
            <w:r>
              <w:rPr>
                <w:b/>
              </w:rPr>
              <w:t>671</w:t>
            </w:r>
          </w:p>
        </w:tc>
        <w:tc>
          <w:tcPr>
            <w:tcW w:w="2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676</w:t>
            </w:r>
          </w:p>
        </w:tc>
        <w:tc>
          <w:tcPr>
            <w:tcW w:w="26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b/>
              </w:rPr>
            </w:pPr>
            <w:r>
              <w:rPr>
                <w:b/>
              </w:rPr>
              <w:t>$</w:t>
            </w:r>
          </w:p>
        </w:tc>
        <w:tc>
          <w:tcPr>
            <w:tcW w:w="641" w:type="dxa"/>
            <w:tcBorders/>
            <w:shd w:fill="CCEEFF" w:val="clear"/>
            <w:vAlign w:val="center"/>
          </w:tcPr>
          <w:p>
            <w:pPr>
              <w:pStyle w:val="TableContents"/>
              <w:bidi w:val="0"/>
              <w:spacing w:before="0" w:after="283"/>
              <w:jc w:val="right"/>
              <w:rPr>
                <w:b/>
              </w:rPr>
            </w:pPr>
            <w:r>
              <w:rPr>
                <w:b/>
              </w:rPr>
              <w:t xml:space="preserve">- </w:t>
            </w:r>
          </w:p>
        </w:tc>
        <w:tc>
          <w:tcPr>
            <w:tcW w:w="197"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w:t>
            </w:r>
          </w:p>
        </w:tc>
        <w:tc>
          <w:tcPr>
            <w:tcW w:w="641" w:type="dxa"/>
            <w:tcBorders/>
            <w:shd w:fill="CCEEFF" w:val="clear"/>
            <w:vAlign w:val="center"/>
          </w:tcPr>
          <w:p>
            <w:pPr>
              <w:pStyle w:val="TableContents"/>
              <w:bidi w:val="0"/>
              <w:spacing w:before="0" w:after="283"/>
              <w:jc w:val="right"/>
              <w:rPr/>
            </w:pPr>
            <w:r>
              <w:rPr/>
              <w:t>1</w:t>
            </w:r>
          </w:p>
        </w:tc>
        <w:tc>
          <w:tcPr>
            <w:tcW w:w="515" w:type="dxa"/>
            <w:tcBorders/>
            <w:shd w:fill="CCEEFF" w:val="clear"/>
            <w:vAlign w:val="center"/>
          </w:tcPr>
          <w:p>
            <w:pPr>
              <w:pStyle w:val="TableContents"/>
              <w:bidi w:val="0"/>
              <w:spacing w:before="0" w:after="283"/>
              <w:jc w:val="left"/>
              <w:rPr/>
            </w:pPr>
            <w:r>
              <w:rPr/>
              <w:t> </w:t>
            </w:r>
          </w:p>
        </w:tc>
      </w:tr>
      <w:tr>
        <w:trPr/>
        <w:tc>
          <w:tcPr>
            <w:tcW w:w="3913" w:type="dxa"/>
            <w:tcBorders/>
            <w:vAlign w:val="center"/>
          </w:tcPr>
          <w:p>
            <w:pPr>
              <w:pStyle w:val="TableContents"/>
              <w:bidi w:val="0"/>
              <w:spacing w:before="0" w:after="0"/>
              <w:jc w:val="left"/>
              <w:rPr/>
            </w:pPr>
            <w:r>
              <w:rPr/>
              <w:t xml:space="preserve">Interest cost </w:t>
            </w:r>
          </w:p>
        </w:tc>
        <w:tc>
          <w:tcPr>
            <w:tcW w:w="127"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b/>
              </w:rPr>
            </w:pPr>
            <w:r>
              <w:rPr>
                <w:b/>
              </w:rPr>
              <w:t>1,164</w:t>
            </w:r>
          </w:p>
        </w:tc>
        <w:tc>
          <w:tcPr>
            <w:tcW w:w="2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1,137</w:t>
            </w:r>
          </w:p>
        </w:tc>
        <w:tc>
          <w:tcPr>
            <w:tcW w:w="261"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c>
          <w:tcPr>
            <w:tcW w:w="380"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right"/>
              <w:rPr>
                <w:b/>
              </w:rPr>
            </w:pPr>
            <w:r>
              <w:rPr>
                <w:b/>
              </w:rPr>
              <w:t>58</w:t>
            </w:r>
          </w:p>
        </w:tc>
        <w:tc>
          <w:tcPr>
            <w:tcW w:w="19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c>
          <w:tcPr>
            <w:tcW w:w="380"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right"/>
              <w:rPr/>
            </w:pPr>
            <w:r>
              <w:rPr/>
              <w:t>59</w:t>
            </w:r>
          </w:p>
        </w:tc>
        <w:tc>
          <w:tcPr>
            <w:tcW w:w="515" w:type="dxa"/>
            <w:tcBorders/>
            <w:vAlign w:val="center"/>
          </w:tcPr>
          <w:p>
            <w:pPr>
              <w:pStyle w:val="TableContents"/>
              <w:bidi w:val="0"/>
              <w:spacing w:before="0" w:after="283"/>
              <w:jc w:val="left"/>
              <w:rPr/>
            </w:pPr>
            <w:r>
              <w:rPr/>
              <w:t> </w:t>
            </w:r>
          </w:p>
        </w:tc>
      </w:tr>
      <w:tr>
        <w:trPr/>
        <w:tc>
          <w:tcPr>
            <w:tcW w:w="3913" w:type="dxa"/>
            <w:tcBorders/>
            <w:shd w:fill="CCEEFF" w:val="clear"/>
            <w:vAlign w:val="center"/>
          </w:tcPr>
          <w:p>
            <w:pPr>
              <w:pStyle w:val="TableContents"/>
              <w:bidi w:val="0"/>
              <w:spacing w:before="0" w:after="0"/>
              <w:jc w:val="left"/>
              <w:rPr/>
            </w:pPr>
            <w:r>
              <w:rPr/>
              <w:t xml:space="preserve">Expected return on plan assets </w:t>
            </w:r>
          </w:p>
        </w:tc>
        <w:tc>
          <w:tcPr>
            <w:tcW w:w="127"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b/>
              </w:rPr>
            </w:pPr>
            <w:r>
              <w:rPr>
                <w:b/>
              </w:rPr>
              <w:t>(2,312</w:t>
            </w:r>
          </w:p>
        </w:tc>
        <w:tc>
          <w:tcPr>
            <w:tcW w:w="261" w:type="dxa"/>
            <w:tcBorders/>
            <w:shd w:fill="CCEEFF" w:val="clear"/>
            <w:vAlign w:val="center"/>
          </w:tcPr>
          <w:p>
            <w:pPr>
              <w:pStyle w:val="TableContents"/>
              <w:bidi w:val="0"/>
              <w:spacing w:before="0" w:after="283"/>
              <w:jc w:val="left"/>
              <w:rPr>
                <w:b/>
              </w:rPr>
            </w:pPr>
            <w:r>
              <w:rPr>
                <w:b/>
              </w:rPr>
              <w:t>) </w:t>
            </w:r>
          </w:p>
        </w:tc>
        <w:tc>
          <w:tcPr>
            <w:tcW w:w="127"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(2,091</w:t>
            </w:r>
          </w:p>
        </w:tc>
        <w:tc>
          <w:tcPr>
            <w:tcW w:w="26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b/>
              </w:rPr>
            </w:pPr>
            <w:r>
              <w:rPr>
                <w:b/>
              </w:rPr>
              <w:t xml:space="preserve">- </w:t>
            </w:r>
          </w:p>
        </w:tc>
        <w:tc>
          <w:tcPr>
            <w:tcW w:w="197"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xml:space="preserve">- </w:t>
            </w:r>
          </w:p>
        </w:tc>
        <w:tc>
          <w:tcPr>
            <w:tcW w:w="515" w:type="dxa"/>
            <w:tcBorders/>
            <w:shd w:fill="CCEEFF" w:val="clear"/>
            <w:vAlign w:val="center"/>
          </w:tcPr>
          <w:p>
            <w:pPr>
              <w:pStyle w:val="TableContents"/>
              <w:bidi w:val="0"/>
              <w:spacing w:before="0" w:after="283"/>
              <w:jc w:val="left"/>
              <w:rPr/>
            </w:pPr>
            <w:r>
              <w:rPr/>
              <w:t> </w:t>
            </w:r>
          </w:p>
        </w:tc>
      </w:tr>
      <w:tr>
        <w:trPr/>
        <w:tc>
          <w:tcPr>
            <w:tcW w:w="3913" w:type="dxa"/>
            <w:tcBorders>
              <w:bottom w:val="single" w:sz="12" w:space="0" w:color="000000"/>
            </w:tcBorders>
            <w:tcMar>
              <w:bottom w:w="28" w:type="dxa"/>
            </w:tcMar>
            <w:vAlign w:val="center"/>
          </w:tcPr>
          <w:p>
            <w:pPr>
              <w:pStyle w:val="TableContents"/>
              <w:bidi w:val="0"/>
              <w:spacing w:before="0" w:after="0"/>
              <w:jc w:val="left"/>
              <w:rPr/>
            </w:pPr>
            <w:r>
              <w:rPr/>
              <w:t xml:space="preserve">Net amortization </w:t>
            </w:r>
          </w:p>
        </w:tc>
        <w:tc>
          <w:tcPr>
            <w:tcW w:w="127" w:type="dxa"/>
            <w:tcBorders>
              <w:bottom w:val="single" w:sz="12" w:space="0" w:color="000000"/>
            </w:tcBorders>
            <w:tcMar>
              <w:bottom w:w="28" w:type="dxa"/>
            </w:tcMar>
            <w:vAlign w:val="center"/>
          </w:tcPr>
          <w:p>
            <w:pPr>
              <w:pStyle w:val="TableContents"/>
              <w:bidi w:val="0"/>
              <w:spacing w:before="0" w:after="283"/>
              <w:jc w:val="righ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before="0" w:after="283"/>
              <w:jc w:val="right"/>
              <w:rPr>
                <w:b/>
              </w:rPr>
            </w:pPr>
            <w:r>
              <w:rPr>
                <w:b/>
              </w:rPr>
              <w:t>32</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 w:type="dxa"/>
            <w:tcBorders>
              <w:bottom w:val="single" w:sz="12" w:space="0" w:color="000000"/>
            </w:tcBorders>
            <w:tcMar>
              <w:bottom w:w="28" w:type="dxa"/>
            </w:tcMar>
            <w:vAlign w:val="center"/>
          </w:tcPr>
          <w:p>
            <w:pPr>
              <w:pStyle w:val="TableContents"/>
              <w:bidi w:val="0"/>
              <w:spacing w:before="0" w:after="283"/>
              <w:jc w:val="righ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before="0" w:after="283"/>
              <w:jc w:val="right"/>
              <w:rPr/>
            </w:pPr>
            <w:r>
              <w:rPr/>
              <w:t>308</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righ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righ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tcMar>
              <w:bottom w:w="28" w:type="dxa"/>
            </w:tcMar>
            <w:vAlign w:val="center"/>
          </w:tcPr>
          <w:p>
            <w:pPr>
              <w:pStyle w:val="TableContents"/>
              <w:bidi w:val="0"/>
              <w:spacing w:before="0" w:after="283"/>
              <w:jc w:val="right"/>
              <w:rPr/>
            </w:pPr>
            <w:r>
              <w:rPr/>
              <w:t>(1</w:t>
            </w:r>
          </w:p>
        </w:tc>
        <w:tc>
          <w:tcPr>
            <w:tcW w:w="5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913"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net periodic (benefit) cost </w:t>
            </w:r>
          </w:p>
        </w:tc>
        <w:tc>
          <w:tcPr>
            <w:tcW w:w="127"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4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43"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(445</w:t>
            </w:r>
          </w:p>
        </w:tc>
        <w:tc>
          <w:tcPr>
            <w:tcW w:w="26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127"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4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43" w:type="dxa"/>
            <w:tcBorders>
              <w:bottom w:val="double" w:sz="8" w:space="0" w:color="000000"/>
            </w:tcBorders>
            <w:shd w:fill="CCEEFF" w:val="clear"/>
            <w:tcMar>
              <w:bottom w:w="28" w:type="dxa"/>
            </w:tcMar>
            <w:vAlign w:val="center"/>
          </w:tcPr>
          <w:p>
            <w:pPr>
              <w:pStyle w:val="TableContents"/>
              <w:bidi w:val="0"/>
              <w:spacing w:before="0" w:after="283"/>
              <w:jc w:val="right"/>
              <w:rPr/>
            </w:pPr>
            <w:r>
              <w:rPr/>
              <w:t>30</w:t>
            </w:r>
          </w:p>
        </w:tc>
        <w:tc>
          <w:tcPr>
            <w:tcW w:w="26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8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41"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58</w:t>
            </w:r>
          </w:p>
        </w:tc>
        <w:tc>
          <w:tcPr>
            <w:tcW w:w="19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38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641" w:type="dxa"/>
            <w:tcBorders>
              <w:bottom w:val="double" w:sz="8" w:space="0" w:color="000000"/>
            </w:tcBorders>
            <w:shd w:fill="CCEEFF" w:val="clear"/>
            <w:tcMar>
              <w:bottom w:w="28" w:type="dxa"/>
            </w:tcMar>
            <w:vAlign w:val="center"/>
          </w:tcPr>
          <w:p>
            <w:pPr>
              <w:pStyle w:val="TableContents"/>
              <w:bidi w:val="0"/>
              <w:spacing w:before="0" w:after="283"/>
              <w:jc w:val="right"/>
              <w:rPr/>
            </w:pPr>
            <w:r>
              <w:rPr/>
              <w:t>59</w:t>
            </w:r>
          </w:p>
        </w:tc>
        <w:tc>
          <w:tcPr>
            <w:tcW w:w="51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9967" w:type="dxa"/>
        <w:jc w:val="left"/>
        <w:tblInd w:w="0" w:type="dxa"/>
        <w:tblLayout w:type="fixed"/>
        <w:tblCellMar>
          <w:top w:w="0" w:type="dxa"/>
          <w:left w:w="0" w:type="dxa"/>
          <w:bottom w:w="0" w:type="dxa"/>
          <w:right w:w="0" w:type="dxa"/>
        </w:tblCellMar>
      </w:tblPr>
      <w:tblGrid>
        <w:gridCol w:w="4100"/>
        <w:gridCol w:w="118"/>
        <w:gridCol w:w="223"/>
        <w:gridCol w:w="873"/>
        <w:gridCol w:w="242"/>
        <w:gridCol w:w="118"/>
        <w:gridCol w:w="223"/>
        <w:gridCol w:w="873"/>
        <w:gridCol w:w="242"/>
        <w:gridCol w:w="151"/>
        <w:gridCol w:w="286"/>
        <w:gridCol w:w="691"/>
        <w:gridCol w:w="312"/>
        <w:gridCol w:w="151"/>
        <w:gridCol w:w="286"/>
        <w:gridCol w:w="691"/>
        <w:gridCol w:w="387"/>
      </w:tblGrid>
      <w:tr>
        <w:trPr/>
        <w:tc>
          <w:tcPr>
            <w:tcW w:w="410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2912" w:type="dxa"/>
            <w:gridSpan w:val="8"/>
            <w:tcBorders>
              <w:bottom w:val="single" w:sz="12" w:space="0" w:color="000000"/>
            </w:tcBorders>
            <w:tcMar>
              <w:bottom w:w="28" w:type="dxa"/>
            </w:tcMar>
            <w:vAlign w:val="center"/>
          </w:tcPr>
          <w:p>
            <w:pPr>
              <w:pStyle w:val="TableContents"/>
              <w:bidi w:val="0"/>
              <w:spacing w:before="0" w:after="0"/>
              <w:jc w:val="center"/>
              <w:rPr/>
            </w:pPr>
            <w:r>
              <w:rPr>
                <w:b/>
              </w:rPr>
              <w:t>Pension Benefits</w:t>
            </w:r>
            <w:r>
              <w:rPr/>
              <w:t xml:space="preserve"> </w:t>
            </w:r>
          </w:p>
        </w:tc>
        <w:tc>
          <w:tcPr>
            <w:tcW w:w="2955" w:type="dxa"/>
            <w:gridSpan w:val="8"/>
            <w:tcBorders>
              <w:bottom w:val="single" w:sz="12" w:space="0" w:color="000000"/>
            </w:tcBorders>
            <w:tcMar>
              <w:bottom w:w="28" w:type="dxa"/>
            </w:tcMar>
            <w:vAlign w:val="center"/>
          </w:tcPr>
          <w:p>
            <w:pPr>
              <w:pStyle w:val="TableContents"/>
              <w:bidi w:val="0"/>
              <w:spacing w:before="0" w:after="0"/>
              <w:jc w:val="center"/>
              <w:rPr/>
            </w:pPr>
            <w:r>
              <w:rPr>
                <w:b/>
              </w:rPr>
              <w:t>Other Benefits</w:t>
            </w:r>
            <w:r>
              <w:rPr/>
              <w:t xml:space="preserve"> </w:t>
            </w:r>
          </w:p>
        </w:tc>
      </w:tr>
      <w:tr>
        <w:trPr/>
        <w:tc>
          <w:tcPr>
            <w:tcW w:w="4100" w:type="dxa"/>
            <w:tcBorders/>
            <w:vAlign w:val="center"/>
          </w:tcPr>
          <w:p>
            <w:pPr>
              <w:pStyle w:val="TableContents"/>
              <w:bidi w:val="0"/>
              <w:spacing w:before="0" w:after="283"/>
              <w:jc w:val="left"/>
              <w:rPr/>
            </w:pPr>
            <w:r>
              <w:rPr/>
              <w:t> </w:t>
            </w:r>
          </w:p>
        </w:tc>
        <w:tc>
          <w:tcPr>
            <w:tcW w:w="2912" w:type="dxa"/>
            <w:gridSpan w:val="8"/>
            <w:tcBorders>
              <w:bottom w:val="single" w:sz="12" w:space="0" w:color="000000"/>
            </w:tcBorders>
            <w:tcMar>
              <w:bottom w:w="28" w:type="dxa"/>
            </w:tcMar>
            <w:vAlign w:val="center"/>
          </w:tcPr>
          <w:p>
            <w:pPr>
              <w:pStyle w:val="TableContents"/>
              <w:bidi w:val="0"/>
              <w:spacing w:before="0" w:after="0"/>
              <w:jc w:val="center"/>
              <w:rPr/>
            </w:pPr>
            <w:r>
              <w:rPr>
                <w:b/>
              </w:rPr>
              <w:t>Six Months Ended June 30,</w:t>
            </w:r>
            <w:r>
              <w:rPr/>
              <w:t xml:space="preserve"> </w:t>
            </w:r>
          </w:p>
        </w:tc>
        <w:tc>
          <w:tcPr>
            <w:tcW w:w="2955" w:type="dxa"/>
            <w:gridSpan w:val="8"/>
            <w:tcBorders>
              <w:bottom w:val="single" w:sz="12" w:space="0" w:color="000000"/>
            </w:tcBorders>
            <w:tcMar>
              <w:bottom w:w="28" w:type="dxa"/>
            </w:tcMar>
            <w:vAlign w:val="center"/>
          </w:tcPr>
          <w:p>
            <w:pPr>
              <w:pStyle w:val="TableContents"/>
              <w:bidi w:val="0"/>
              <w:spacing w:before="0" w:after="0"/>
              <w:jc w:val="center"/>
              <w:rPr/>
            </w:pPr>
            <w:r>
              <w:rPr>
                <w:b/>
              </w:rPr>
              <w:t>Six Months Ended June 30,</w:t>
            </w:r>
            <w:r>
              <w:rPr/>
              <w:t xml:space="preserve"> </w:t>
            </w:r>
          </w:p>
        </w:tc>
      </w:tr>
      <w:tr>
        <w:trPr/>
        <w:tc>
          <w:tcPr>
            <w:tcW w:w="410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0"/>
              <w:ind w:left="0" w:right="0" w:hanging="144"/>
              <w:jc w:val="center"/>
              <w:rPr/>
            </w:pPr>
            <w:r>
              <w:rPr>
                <w:b/>
              </w:rPr>
              <w:t>2026</w:t>
            </w:r>
            <w:r>
              <w:rPr/>
              <w:t xml:space="preserve">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0"/>
              <w:ind w:left="0" w:right="0" w:hanging="144"/>
              <w:jc w:val="center"/>
              <w:rPr/>
            </w:pPr>
            <w:r>
              <w:rPr>
                <w:b/>
              </w:rPr>
              <w:t>2025</w:t>
            </w:r>
            <w:r>
              <w:rPr/>
              <w:t xml:space="preserve">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0"/>
              <w:ind w:left="0" w:right="0" w:hanging="144"/>
              <w:jc w:val="center"/>
              <w:rPr/>
            </w:pPr>
            <w:r>
              <w:rPr>
                <w:b/>
              </w:rPr>
              <w:t>2026</w:t>
            </w:r>
            <w:r>
              <w:rPr/>
              <w:t xml:space="preserve"> </w:t>
            </w:r>
          </w:p>
        </w:tc>
        <w:tc>
          <w:tcPr>
            <w:tcW w:w="31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0"/>
              <w:ind w:left="0" w:right="0" w:hanging="144"/>
              <w:jc w:val="center"/>
              <w:rPr/>
            </w:pPr>
            <w:r>
              <w:rPr>
                <w:b/>
              </w:rPr>
              <w:t>2025</w:t>
            </w:r>
            <w:r>
              <w:rPr/>
              <w:t xml:space="preserve"> </w:t>
            </w:r>
          </w:p>
        </w:tc>
        <w:tc>
          <w:tcPr>
            <w:tcW w:w="38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ind w:left="0" w:right="0" w:hanging="144"/>
              <w:jc w:val="left"/>
              <w:rPr/>
            </w:pPr>
            <w:r>
              <w:rPr/>
              <w:t xml:space="preserve">Components of net periodic (benefit) cost: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pPr>
            <w:r>
              <w:rPr/>
              <w:t xml:space="preserve">Service cost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144"/>
              <w:jc w:val="left"/>
              <w:rPr>
                <w:b/>
              </w:rPr>
            </w:pPr>
            <w:r>
              <w:rPr>
                <w:b/>
              </w:rPr>
              <w:t>$</w:t>
            </w:r>
          </w:p>
        </w:tc>
        <w:tc>
          <w:tcPr>
            <w:tcW w:w="873" w:type="dxa"/>
            <w:tcBorders/>
            <w:shd w:fill="CCEEFF" w:val="clear"/>
            <w:vAlign w:val="center"/>
          </w:tcPr>
          <w:p>
            <w:pPr>
              <w:pStyle w:val="TableContents"/>
              <w:bidi w:val="0"/>
              <w:spacing w:before="0" w:after="283"/>
              <w:jc w:val="right"/>
              <w:rPr>
                <w:b/>
              </w:rPr>
            </w:pPr>
            <w:r>
              <w:rPr>
                <w:b/>
              </w:rPr>
              <w:t>1,343</w:t>
            </w:r>
          </w:p>
        </w:tc>
        <w:tc>
          <w:tcPr>
            <w:tcW w:w="242"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144"/>
              <w:jc w:val="left"/>
              <w:rPr/>
            </w:pPr>
            <w:r>
              <w:rPr/>
              <w:t>$</w:t>
            </w:r>
          </w:p>
        </w:tc>
        <w:tc>
          <w:tcPr>
            <w:tcW w:w="873" w:type="dxa"/>
            <w:tcBorders/>
            <w:shd w:fill="CCEEFF" w:val="clear"/>
            <w:vAlign w:val="center"/>
          </w:tcPr>
          <w:p>
            <w:pPr>
              <w:pStyle w:val="TableContents"/>
              <w:bidi w:val="0"/>
              <w:spacing w:before="0" w:after="283"/>
              <w:jc w:val="right"/>
              <w:rPr/>
            </w:pPr>
            <w:r>
              <w:rPr/>
              <w:t>1,369</w:t>
            </w:r>
          </w:p>
        </w:tc>
        <w:tc>
          <w:tcPr>
            <w:tcW w:w="24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144"/>
              <w:jc w:val="left"/>
              <w:rPr>
                <w:b/>
              </w:rPr>
            </w:pPr>
            <w:r>
              <w:rPr>
                <w:b/>
              </w:rPr>
              <w:t>$</w:t>
            </w:r>
          </w:p>
        </w:tc>
        <w:tc>
          <w:tcPr>
            <w:tcW w:w="691" w:type="dxa"/>
            <w:tcBorders/>
            <w:shd w:fill="CCEEFF" w:val="clear"/>
            <w:vAlign w:val="center"/>
          </w:tcPr>
          <w:p>
            <w:pPr>
              <w:pStyle w:val="TableContents"/>
              <w:bidi w:val="0"/>
              <w:spacing w:before="0" w:after="283"/>
              <w:jc w:val="right"/>
              <w:rPr>
                <w:b/>
              </w:rPr>
            </w:pPr>
            <w:r>
              <w:rPr>
                <w:b/>
              </w:rPr>
              <w:t>1</w:t>
            </w:r>
          </w:p>
        </w:tc>
        <w:tc>
          <w:tcPr>
            <w:tcW w:w="31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144"/>
              <w:jc w:val="left"/>
              <w:rPr/>
            </w:pPr>
            <w:r>
              <w:rPr/>
              <w:t>$</w:t>
            </w:r>
          </w:p>
        </w:tc>
        <w:tc>
          <w:tcPr>
            <w:tcW w:w="691" w:type="dxa"/>
            <w:tcBorders/>
            <w:shd w:fill="CCEEFF" w:val="clear"/>
            <w:vAlign w:val="center"/>
          </w:tcPr>
          <w:p>
            <w:pPr>
              <w:pStyle w:val="TableContents"/>
              <w:bidi w:val="0"/>
              <w:spacing w:before="0" w:after="283"/>
              <w:jc w:val="right"/>
              <w:rPr/>
            </w:pPr>
            <w:r>
              <w:rPr/>
              <w:t>2</w:t>
            </w:r>
          </w:p>
        </w:tc>
        <w:tc>
          <w:tcPr>
            <w:tcW w:w="387"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pPr>
            <w:r>
              <w:rPr/>
              <w:t xml:space="preserve">Interest cost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ind w:left="0" w:right="0" w:hanging="144"/>
              <w:jc w:val="left"/>
              <w:rPr/>
            </w:pPr>
            <w:r>
              <w:rPr/>
              <w:t> </w:t>
            </w:r>
          </w:p>
        </w:tc>
        <w:tc>
          <w:tcPr>
            <w:tcW w:w="873" w:type="dxa"/>
            <w:tcBorders/>
            <w:vAlign w:val="center"/>
          </w:tcPr>
          <w:p>
            <w:pPr>
              <w:pStyle w:val="TableContents"/>
              <w:bidi w:val="0"/>
              <w:spacing w:before="0" w:after="283"/>
              <w:jc w:val="right"/>
              <w:rPr>
                <w:b/>
              </w:rPr>
            </w:pPr>
            <w:r>
              <w:rPr>
                <w:b/>
              </w:rPr>
              <w:t>2,329</w:t>
            </w:r>
          </w:p>
        </w:tc>
        <w:tc>
          <w:tcPr>
            <w:tcW w:w="242"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ind w:left="0" w:right="0" w:hanging="144"/>
              <w:jc w:val="left"/>
              <w:rPr/>
            </w:pPr>
            <w:r>
              <w:rPr/>
              <w:t> </w:t>
            </w:r>
          </w:p>
        </w:tc>
        <w:tc>
          <w:tcPr>
            <w:tcW w:w="873" w:type="dxa"/>
            <w:tcBorders/>
            <w:vAlign w:val="center"/>
          </w:tcPr>
          <w:p>
            <w:pPr>
              <w:pStyle w:val="TableContents"/>
              <w:bidi w:val="0"/>
              <w:spacing w:before="0" w:after="283"/>
              <w:jc w:val="right"/>
              <w:rPr/>
            </w:pPr>
            <w:r>
              <w:rPr/>
              <w:t>2,206</w:t>
            </w:r>
          </w:p>
        </w:tc>
        <w:tc>
          <w:tcPr>
            <w:tcW w:w="24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ind w:left="0" w:right="0" w:hanging="144"/>
              <w:jc w:val="left"/>
              <w:rPr/>
            </w:pPr>
            <w:r>
              <w:rPr/>
              <w:t> </w:t>
            </w:r>
          </w:p>
        </w:tc>
        <w:tc>
          <w:tcPr>
            <w:tcW w:w="691" w:type="dxa"/>
            <w:tcBorders/>
            <w:vAlign w:val="center"/>
          </w:tcPr>
          <w:p>
            <w:pPr>
              <w:pStyle w:val="TableContents"/>
              <w:bidi w:val="0"/>
              <w:spacing w:before="0" w:after="283"/>
              <w:jc w:val="right"/>
              <w:rPr>
                <w:b/>
              </w:rPr>
            </w:pPr>
            <w:r>
              <w:rPr>
                <w:b/>
              </w:rPr>
              <w:t>116</w:t>
            </w:r>
          </w:p>
        </w:tc>
        <w:tc>
          <w:tcPr>
            <w:tcW w:w="31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ind w:left="0" w:right="0" w:hanging="144"/>
              <w:jc w:val="left"/>
              <w:rPr/>
            </w:pPr>
            <w:r>
              <w:rPr/>
              <w:t> </w:t>
            </w:r>
          </w:p>
        </w:tc>
        <w:tc>
          <w:tcPr>
            <w:tcW w:w="691" w:type="dxa"/>
            <w:tcBorders/>
            <w:vAlign w:val="center"/>
          </w:tcPr>
          <w:p>
            <w:pPr>
              <w:pStyle w:val="TableContents"/>
              <w:bidi w:val="0"/>
              <w:spacing w:before="0" w:after="283"/>
              <w:jc w:val="right"/>
              <w:rPr/>
            </w:pPr>
            <w:r>
              <w:rPr/>
              <w:t>118</w:t>
            </w:r>
          </w:p>
        </w:tc>
        <w:tc>
          <w:tcPr>
            <w:tcW w:w="38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pPr>
            <w:r>
              <w:rPr/>
              <w:t xml:space="preserve">Expected return on plan assets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144"/>
              <w:jc w:val="left"/>
              <w:rPr/>
            </w:pPr>
            <w:r>
              <w:rPr/>
              <w:t> </w:t>
            </w:r>
          </w:p>
        </w:tc>
        <w:tc>
          <w:tcPr>
            <w:tcW w:w="873" w:type="dxa"/>
            <w:tcBorders/>
            <w:shd w:fill="CCEEFF" w:val="clear"/>
            <w:vAlign w:val="center"/>
          </w:tcPr>
          <w:p>
            <w:pPr>
              <w:pStyle w:val="TableContents"/>
              <w:bidi w:val="0"/>
              <w:spacing w:before="0" w:after="283"/>
              <w:jc w:val="right"/>
              <w:rPr>
                <w:b/>
              </w:rPr>
            </w:pPr>
            <w:r>
              <w:rPr>
                <w:b/>
              </w:rPr>
              <w:t>(4,625</w:t>
            </w:r>
          </w:p>
        </w:tc>
        <w:tc>
          <w:tcPr>
            <w:tcW w:w="242" w:type="dxa"/>
            <w:tcBorders/>
            <w:shd w:fill="CCEEFF" w:val="clear"/>
            <w:vAlign w:val="center"/>
          </w:tcPr>
          <w:p>
            <w:pPr>
              <w:pStyle w:val="TableContents"/>
              <w:bidi w:val="0"/>
              <w:spacing w:before="0" w:after="283"/>
              <w:jc w:val="left"/>
              <w:rPr>
                <w:b/>
              </w:rPr>
            </w:pPr>
            <w:r>
              <w:rPr>
                <w:b/>
              </w:rPr>
              <w:t>) </w:t>
            </w:r>
          </w:p>
        </w:tc>
        <w:tc>
          <w:tcPr>
            <w:tcW w:w="118"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144"/>
              <w:jc w:val="left"/>
              <w:rPr/>
            </w:pPr>
            <w:r>
              <w:rPr/>
              <w:t> </w:t>
            </w:r>
          </w:p>
        </w:tc>
        <w:tc>
          <w:tcPr>
            <w:tcW w:w="873" w:type="dxa"/>
            <w:tcBorders/>
            <w:shd w:fill="CCEEFF" w:val="clear"/>
            <w:vAlign w:val="center"/>
          </w:tcPr>
          <w:p>
            <w:pPr>
              <w:pStyle w:val="TableContents"/>
              <w:bidi w:val="0"/>
              <w:spacing w:before="0" w:after="283"/>
              <w:jc w:val="right"/>
              <w:rPr/>
            </w:pPr>
            <w:r>
              <w:rPr/>
              <w:t>(4,136</w:t>
            </w:r>
          </w:p>
        </w:tc>
        <w:tc>
          <w:tcPr>
            <w:tcW w:w="24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144"/>
              <w:jc w:val="left"/>
              <w:rPr/>
            </w:pPr>
            <w:r>
              <w:rPr/>
              <w:t> </w:t>
            </w:r>
          </w:p>
        </w:tc>
        <w:tc>
          <w:tcPr>
            <w:tcW w:w="691" w:type="dxa"/>
            <w:tcBorders/>
            <w:shd w:fill="CCEEFF" w:val="clear"/>
            <w:vAlign w:val="center"/>
          </w:tcPr>
          <w:p>
            <w:pPr>
              <w:pStyle w:val="TableContents"/>
              <w:bidi w:val="0"/>
              <w:spacing w:before="0" w:after="283"/>
              <w:jc w:val="right"/>
              <w:rPr>
                <w:b/>
              </w:rPr>
            </w:pPr>
            <w:r>
              <w:rPr>
                <w:b/>
              </w:rPr>
              <w:t xml:space="preserve">- </w:t>
            </w:r>
          </w:p>
        </w:tc>
        <w:tc>
          <w:tcPr>
            <w:tcW w:w="31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144"/>
              <w:jc w:val="left"/>
              <w:rPr/>
            </w:pPr>
            <w:r>
              <w:rPr/>
              <w:t> </w:t>
            </w:r>
          </w:p>
        </w:tc>
        <w:tc>
          <w:tcPr>
            <w:tcW w:w="691" w:type="dxa"/>
            <w:tcBorders/>
            <w:shd w:fill="CCEEFF" w:val="clear"/>
            <w:vAlign w:val="center"/>
          </w:tcPr>
          <w:p>
            <w:pPr>
              <w:pStyle w:val="TableContents"/>
              <w:bidi w:val="0"/>
              <w:spacing w:before="0" w:after="283"/>
              <w:jc w:val="right"/>
              <w:rPr/>
            </w:pPr>
            <w:r>
              <w:rPr/>
              <w:t xml:space="preserve">- </w:t>
            </w:r>
          </w:p>
        </w:tc>
        <w:tc>
          <w:tcPr>
            <w:tcW w:w="387" w:type="dxa"/>
            <w:tcBorders/>
            <w:shd w:fill="CCEEFF" w:val="clear"/>
            <w:vAlign w:val="center"/>
          </w:tcPr>
          <w:p>
            <w:pPr>
              <w:pStyle w:val="TableContents"/>
              <w:bidi w:val="0"/>
              <w:spacing w:before="0" w:after="283"/>
              <w:jc w:val="left"/>
              <w:rPr/>
            </w:pPr>
            <w:r>
              <w:rPr/>
              <w:t> </w:t>
            </w:r>
          </w:p>
        </w:tc>
      </w:tr>
      <w:tr>
        <w:trPr/>
        <w:tc>
          <w:tcPr>
            <w:tcW w:w="4100" w:type="dxa"/>
            <w:tcBorders>
              <w:bottom w:val="single" w:sz="12" w:space="0" w:color="000000"/>
            </w:tcBorders>
            <w:tcMar>
              <w:bottom w:w="28" w:type="dxa"/>
            </w:tcMar>
            <w:vAlign w:val="center"/>
          </w:tcPr>
          <w:p>
            <w:pPr>
              <w:pStyle w:val="TableContents"/>
              <w:bidi w:val="0"/>
              <w:spacing w:before="0" w:after="0"/>
              <w:jc w:val="left"/>
              <w:rPr/>
            </w:pPr>
            <w:r>
              <w:rPr/>
              <w:t xml:space="preserve">Net amortization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873" w:type="dxa"/>
            <w:tcBorders>
              <w:bottom w:val="single" w:sz="12" w:space="0" w:color="000000"/>
            </w:tcBorders>
            <w:tcMar>
              <w:bottom w:w="28" w:type="dxa"/>
            </w:tcMar>
            <w:vAlign w:val="center"/>
          </w:tcPr>
          <w:p>
            <w:pPr>
              <w:pStyle w:val="TableContents"/>
              <w:bidi w:val="0"/>
              <w:spacing w:before="0" w:after="283"/>
              <w:jc w:val="right"/>
              <w:rPr>
                <w:b/>
              </w:rPr>
            </w:pPr>
            <w:r>
              <w:rPr>
                <w:b/>
              </w:rPr>
              <w:t>65</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873" w:type="dxa"/>
            <w:tcBorders>
              <w:bottom w:val="single" w:sz="12" w:space="0" w:color="000000"/>
            </w:tcBorders>
            <w:tcMar>
              <w:bottom w:w="28" w:type="dxa"/>
            </w:tcMar>
            <w:vAlign w:val="center"/>
          </w:tcPr>
          <w:p>
            <w:pPr>
              <w:pStyle w:val="TableContents"/>
              <w:bidi w:val="0"/>
              <w:spacing w:before="0" w:after="283"/>
              <w:jc w:val="right"/>
              <w:rPr/>
            </w:pPr>
            <w:r>
              <w:rPr/>
              <w:t>633</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b/>
              </w:rPr>
            </w:pPr>
            <w:r>
              <w:rPr>
                <w:b/>
              </w:rPr>
              <w:t>(1</w:t>
            </w:r>
          </w:p>
        </w:tc>
        <w:tc>
          <w:tcPr>
            <w:tcW w:w="312"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ind w:left="0" w:right="0" w:hanging="144"/>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(2</w:t>
            </w:r>
          </w:p>
        </w:tc>
        <w:tc>
          <w:tcPr>
            <w:tcW w:w="38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10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net periodic (benefit) cost </w:t>
            </w:r>
          </w:p>
        </w:tc>
        <w:tc>
          <w:tcPr>
            <w:tcW w:w="11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b/>
              </w:rPr>
            </w:pPr>
            <w:r>
              <w:rPr>
                <w:b/>
              </w:rPr>
              <w:t>$</w:t>
            </w:r>
          </w:p>
        </w:tc>
        <w:tc>
          <w:tcPr>
            <w:tcW w:w="873"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(888</w:t>
            </w:r>
          </w:p>
        </w:tc>
        <w:tc>
          <w:tcPr>
            <w:tcW w:w="242"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 </w:t>
            </w:r>
          </w:p>
        </w:tc>
        <w:tc>
          <w:tcPr>
            <w:tcW w:w="11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873" w:type="dxa"/>
            <w:tcBorders>
              <w:bottom w:val="double" w:sz="8" w:space="0" w:color="000000"/>
            </w:tcBorders>
            <w:shd w:fill="CCEEFF" w:val="clear"/>
            <w:tcMar>
              <w:bottom w:w="28" w:type="dxa"/>
            </w:tcMar>
            <w:vAlign w:val="center"/>
          </w:tcPr>
          <w:p>
            <w:pPr>
              <w:pStyle w:val="TableContents"/>
              <w:bidi w:val="0"/>
              <w:spacing w:before="0" w:after="283"/>
              <w:jc w:val="right"/>
              <w:rPr/>
            </w:pPr>
            <w:r>
              <w:rPr/>
              <w:t>72</w:t>
            </w:r>
          </w:p>
        </w:tc>
        <w:tc>
          <w:tcPr>
            <w:tcW w:w="24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86"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b/>
              </w:rPr>
            </w:pPr>
            <w:r>
              <w:rPr>
                <w:b/>
              </w:rPr>
              <w:t>$</w:t>
            </w:r>
          </w:p>
        </w:tc>
        <w:tc>
          <w:tcPr>
            <w:tcW w:w="691"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116</w:t>
            </w:r>
          </w:p>
        </w:tc>
        <w:tc>
          <w:tcPr>
            <w:tcW w:w="31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86" w:type="dxa"/>
            <w:tcBorders>
              <w:bottom w:val="double" w:sz="8" w:space="0" w:color="000000"/>
            </w:tcBorders>
            <w:shd w:fill="CCEEFF" w:val="clear"/>
            <w:tcMar>
              <w:bottom w:w="28" w:type="dxa"/>
            </w:tcMar>
            <w:vAlign w:val="center"/>
          </w:tcPr>
          <w:p>
            <w:pPr>
              <w:pStyle w:val="TableContents"/>
              <w:bidi w:val="0"/>
              <w:spacing w:before="0" w:after="283"/>
              <w:ind w:left="0" w:right="0" w:hanging="144"/>
              <w:jc w:val="left"/>
              <w:rPr/>
            </w:pPr>
            <w:r>
              <w:rPr/>
              <w:t>$</w:t>
            </w:r>
          </w:p>
        </w:tc>
        <w:tc>
          <w:tcPr>
            <w:tcW w:w="691" w:type="dxa"/>
            <w:tcBorders>
              <w:bottom w:val="double" w:sz="8" w:space="0" w:color="000000"/>
            </w:tcBorders>
            <w:shd w:fill="CCEEFF" w:val="clear"/>
            <w:tcMar>
              <w:bottom w:w="28" w:type="dxa"/>
            </w:tcMar>
            <w:vAlign w:val="center"/>
          </w:tcPr>
          <w:p>
            <w:pPr>
              <w:pStyle w:val="TableContents"/>
              <w:bidi w:val="0"/>
              <w:spacing w:before="0" w:after="283"/>
              <w:jc w:val="right"/>
              <w:rPr/>
            </w:pPr>
            <w:r>
              <w:rPr/>
              <w:t>118</w:t>
            </w:r>
          </w:p>
        </w:tc>
        <w:tc>
          <w:tcPr>
            <w:tcW w:w="38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144" w:right="0" w:hanging="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service cost component of the net periodic (benefit) cost is included in salaries and employee benefits and the interest cost, expected return on plan assets and net amortization components are included in other noninterest expense on the unaudited interim consolidated statements of income.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10. Earnings Per Share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Basic earnings per share (“EPS”) excludes dilution and is computed by dividing income available to common stockholders by the weighted average number of common shares outstanding for the period. Diluted EPS reflects the potential dilution that could occur if securities or other contracts to issue common stock were exercised or converted into common stock or resulted in the issuance of common stock that then shared in the earnings of the entity (such as the Company’s dilutive restricted stock units).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is a reconciliation of basic and diluted EPS for the periods presented in the unaudited interim consolidated statements of income: </w:t>
      </w:r>
    </w:p>
    <w:p>
      <w:pPr>
        <w:pStyle w:val="TextBody"/>
        <w:bidi w:val="0"/>
        <w:spacing w:before="0" w:after="0"/>
        <w:jc w:val="both"/>
        <w:rPr/>
      </w:pPr>
      <w:r>
        <w:rPr/>
        <w:t xml:space="preserve">  </w:t>
      </w:r>
    </w:p>
    <w:tbl>
      <w:tblPr>
        <w:tblW w:w="8678" w:type="dxa"/>
        <w:jc w:val="left"/>
        <w:tblInd w:w="0" w:type="dxa"/>
        <w:tblLayout w:type="fixed"/>
        <w:tblCellMar>
          <w:top w:w="0" w:type="dxa"/>
          <w:left w:w="0" w:type="dxa"/>
          <w:bottom w:w="0" w:type="dxa"/>
          <w:right w:w="0" w:type="dxa"/>
        </w:tblCellMar>
      </w:tblPr>
      <w:tblGrid>
        <w:gridCol w:w="6335"/>
        <w:gridCol w:w="97"/>
        <w:gridCol w:w="184"/>
        <w:gridCol w:w="769"/>
        <w:gridCol w:w="97"/>
        <w:gridCol w:w="97"/>
        <w:gridCol w:w="184"/>
        <w:gridCol w:w="769"/>
        <w:gridCol w:w="146"/>
      </w:tblGrid>
      <w:tr>
        <w:trPr/>
        <w:tc>
          <w:tcPr>
            <w:tcW w:w="63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 </w:t>
            </w:r>
          </w:p>
        </w:tc>
        <w:tc>
          <w:tcPr>
            <w:tcW w:w="2343" w:type="dxa"/>
            <w:gridSpan w:val="8"/>
            <w:tcBorders/>
            <w:vAlign w:val="center"/>
          </w:tcPr>
          <w:p>
            <w:pPr>
              <w:pStyle w:val="TableContents"/>
              <w:bidi w:val="0"/>
              <w:spacing w:before="0" w:after="283"/>
              <w:jc w:val="center"/>
              <w:rPr/>
            </w:pPr>
            <w:r>
              <w:rPr>
                <w:b/>
              </w:rPr>
              <w:t>Three Months Ended</w:t>
            </w:r>
            <w:r>
              <w:rPr/>
              <w:t xml:space="preserve"> </w:t>
            </w:r>
          </w:p>
        </w:tc>
      </w:tr>
      <w:tr>
        <w:trPr/>
        <w:tc>
          <w:tcPr>
            <w:tcW w:w="6335" w:type="dxa"/>
            <w:tcBorders/>
            <w:vAlign w:val="center"/>
          </w:tcPr>
          <w:p>
            <w:pPr>
              <w:pStyle w:val="TableContents"/>
              <w:bidi w:val="0"/>
              <w:spacing w:before="0" w:after="283"/>
              <w:jc w:val="left"/>
              <w:rPr/>
            </w:pPr>
            <w:r>
              <w:rPr/>
              <w:t> </w:t>
            </w:r>
          </w:p>
        </w:tc>
        <w:tc>
          <w:tcPr>
            <w:tcW w:w="2343" w:type="dxa"/>
            <w:gridSpan w:val="8"/>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r>
      <w:tr>
        <w:trPr/>
        <w:tc>
          <w:tcPr>
            <w:tcW w:w="633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4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335" w:type="dxa"/>
            <w:tcBorders/>
            <w:vAlign w:val="center"/>
          </w:tcPr>
          <w:p>
            <w:pPr>
              <w:pStyle w:val="TableContents"/>
              <w:bidi w:val="0"/>
              <w:spacing w:before="0" w:after="0"/>
              <w:ind w:left="0" w:right="0" w:hanging="144"/>
              <w:jc w:val="left"/>
              <w:rPr/>
            </w:pPr>
            <w:r>
              <w:rPr/>
              <w:t xml:space="preserve">Basic EPS: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jc w:val="left"/>
              <w:rPr/>
            </w:pPr>
            <w:r>
              <w:rPr/>
              <w:t xml:space="preserve">Weighted average common shares outstanding </w:t>
            </w:r>
          </w:p>
        </w:tc>
        <w:tc>
          <w:tcPr>
            <w:tcW w:w="97" w:type="dxa"/>
            <w:tcBorders/>
            <w:shd w:fill="CCEEFF" w:val="clear"/>
            <w:vAlign w:val="center"/>
          </w:tcPr>
          <w:p>
            <w:pPr>
              <w:pStyle w:val="TableContents"/>
              <w:bidi w:val="0"/>
              <w:spacing w:before="0" w:after="283"/>
              <w:jc w:val="both"/>
              <w:rPr/>
            </w:pPr>
            <w:r>
              <w:rPr/>
              <w:t> </w:t>
            </w:r>
          </w:p>
        </w:tc>
        <w:tc>
          <w:tcPr>
            <w:tcW w:w="184"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51,981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both"/>
              <w:rPr/>
            </w:pPr>
            <w:r>
              <w:rPr/>
              <w:t> </w:t>
            </w:r>
          </w:p>
        </w:tc>
        <w:tc>
          <w:tcPr>
            <w:tcW w:w="184"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50,575</w:t>
            </w:r>
          </w:p>
        </w:tc>
        <w:tc>
          <w:tcPr>
            <w:tcW w:w="146" w:type="dxa"/>
            <w:tcBorders/>
            <w:shd w:fill="CCEEFF" w:val="clear"/>
            <w:vAlign w:val="center"/>
          </w:tcPr>
          <w:p>
            <w:pPr>
              <w:pStyle w:val="TableContents"/>
              <w:bidi w:val="0"/>
              <w:spacing w:before="0" w:after="283"/>
              <w:jc w:val="left"/>
              <w:rPr/>
            </w:pPr>
            <w:r>
              <w:rPr/>
              <w:t> </w:t>
            </w:r>
          </w:p>
        </w:tc>
      </w:tr>
      <w:tr>
        <w:trPr/>
        <w:tc>
          <w:tcPr>
            <w:tcW w:w="6335" w:type="dxa"/>
            <w:tcBorders>
              <w:bottom w:val="single" w:sz="12" w:space="0" w:color="000000"/>
            </w:tcBorders>
            <w:tcMar>
              <w:bottom w:w="28" w:type="dxa"/>
            </w:tcMar>
            <w:vAlign w:val="center"/>
          </w:tcPr>
          <w:p>
            <w:pPr>
              <w:pStyle w:val="TableContents"/>
              <w:bidi w:val="0"/>
              <w:spacing w:before="0" w:after="0"/>
              <w:jc w:val="left"/>
              <w:rPr/>
            </w:pPr>
            <w:r>
              <w:rPr/>
              <w:t xml:space="preserve">Net income available to common stockholders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69" w:type="dxa"/>
            <w:tcBorders>
              <w:bottom w:val="single" w:sz="12" w:space="0" w:color="000000"/>
            </w:tcBorders>
            <w:tcMar>
              <w:bottom w:w="28" w:type="dxa"/>
            </w:tcMar>
            <w:vAlign w:val="center"/>
          </w:tcPr>
          <w:p>
            <w:pPr>
              <w:pStyle w:val="TableContents"/>
              <w:bidi w:val="0"/>
              <w:spacing w:before="0" w:after="283"/>
              <w:jc w:val="right"/>
              <w:rPr>
                <w:b/>
              </w:rPr>
            </w:pPr>
            <w:r>
              <w:rPr>
                <w:b/>
              </w:rPr>
              <w:t>53,030</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w:t>
            </w:r>
          </w:p>
        </w:tc>
        <w:tc>
          <w:tcPr>
            <w:tcW w:w="769" w:type="dxa"/>
            <w:tcBorders>
              <w:bottom w:val="single" w:sz="12" w:space="0" w:color="000000"/>
            </w:tcBorders>
            <w:tcMar>
              <w:bottom w:w="28" w:type="dxa"/>
            </w:tcMar>
            <w:vAlign w:val="center"/>
          </w:tcPr>
          <w:p>
            <w:pPr>
              <w:pStyle w:val="TableContents"/>
              <w:bidi w:val="0"/>
              <w:spacing w:before="0" w:after="283"/>
              <w:jc w:val="right"/>
              <w:rPr/>
            </w:pPr>
            <w:r>
              <w:rPr/>
              <w:t>22,510</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3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Basic EPS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pPr>
            <w:r>
              <w:rPr/>
              <w:t>0.45</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0"/>
              <w:ind w:left="0" w:right="0" w:hanging="144"/>
              <w:jc w:val="left"/>
              <w:rPr/>
            </w:pPr>
            <w:r>
              <w:rPr/>
              <w:t xml:space="preserve">Diluted EPS: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jc w:val="left"/>
              <w:rPr/>
            </w:pPr>
            <w:r>
              <w:rPr/>
              <w:t xml:space="preserve">Weighted average common shares outstanding </w:t>
            </w:r>
          </w:p>
        </w:tc>
        <w:tc>
          <w:tcPr>
            <w:tcW w:w="97" w:type="dxa"/>
            <w:tcBorders/>
            <w:shd w:fill="CCEEFF" w:val="clear"/>
            <w:vAlign w:val="center"/>
          </w:tcPr>
          <w:p>
            <w:pPr>
              <w:pStyle w:val="TableContents"/>
              <w:bidi w:val="0"/>
              <w:spacing w:before="0" w:after="283"/>
              <w:jc w:val="both"/>
              <w:rPr/>
            </w:pPr>
            <w:r>
              <w:rPr/>
              <w:t> </w:t>
            </w:r>
          </w:p>
        </w:tc>
        <w:tc>
          <w:tcPr>
            <w:tcW w:w="184"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51,981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both"/>
              <w:rPr/>
            </w:pPr>
            <w:r>
              <w:rPr/>
              <w:t> </w:t>
            </w:r>
          </w:p>
        </w:tc>
        <w:tc>
          <w:tcPr>
            <w:tcW w:w="184"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50,575</w:t>
            </w:r>
          </w:p>
        </w:tc>
        <w:tc>
          <w:tcPr>
            <w:tcW w:w="146" w:type="dxa"/>
            <w:tcBorders/>
            <w:shd w:fill="CCEEFF" w:val="clear"/>
            <w:vAlign w:val="center"/>
          </w:tcPr>
          <w:p>
            <w:pPr>
              <w:pStyle w:val="TableContents"/>
              <w:bidi w:val="0"/>
              <w:spacing w:before="0" w:after="283"/>
              <w:jc w:val="left"/>
              <w:rPr/>
            </w:pPr>
            <w:r>
              <w:rPr/>
              <w:t> </w:t>
            </w:r>
          </w:p>
        </w:tc>
      </w:tr>
      <w:tr>
        <w:trPr/>
        <w:tc>
          <w:tcPr>
            <w:tcW w:w="6335" w:type="dxa"/>
            <w:tcBorders>
              <w:bottom w:val="single" w:sz="12" w:space="0" w:color="000000"/>
            </w:tcBorders>
            <w:tcMar>
              <w:bottom w:w="28" w:type="dxa"/>
            </w:tcMar>
            <w:vAlign w:val="center"/>
          </w:tcPr>
          <w:p>
            <w:pPr>
              <w:pStyle w:val="TableContents"/>
              <w:bidi w:val="0"/>
              <w:spacing w:before="0" w:after="0"/>
              <w:jc w:val="left"/>
              <w:rPr/>
            </w:pPr>
            <w:r>
              <w:rPr/>
              <w:t xml:space="preserve">Dilutive effect of common stock options and restricted stock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tcMar>
              <w:bottom w:w="28" w:type="dxa"/>
            </w:tcMar>
            <w:vAlign w:val="center"/>
          </w:tcPr>
          <w:p>
            <w:pPr>
              <w:pStyle w:val="TableContents"/>
              <w:bidi w:val="0"/>
              <w:spacing w:before="0" w:after="283"/>
              <w:jc w:val="right"/>
              <w:rPr>
                <w:b/>
              </w:rPr>
            </w:pPr>
            <w:r>
              <w:rPr>
                <w:b/>
              </w:rPr>
              <w:t>258</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tcMar>
              <w:bottom w:w="28" w:type="dxa"/>
            </w:tcMar>
            <w:vAlign w:val="center"/>
          </w:tcPr>
          <w:p>
            <w:pPr>
              <w:pStyle w:val="TableContents"/>
              <w:bidi w:val="0"/>
              <w:spacing w:before="0" w:after="283"/>
              <w:jc w:val="right"/>
              <w:rPr/>
            </w:pPr>
            <w:r>
              <w:rPr/>
              <w:t>212</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jc w:val="left"/>
              <w:rPr/>
            </w:pPr>
            <w:r>
              <w:rPr/>
              <w:t xml:space="preserve">Weighted average common shares and common share equivalents </w:t>
            </w:r>
          </w:p>
        </w:tc>
        <w:tc>
          <w:tcPr>
            <w:tcW w:w="97" w:type="dxa"/>
            <w:tcBorders/>
            <w:shd w:fill="CCEEFF" w:val="clear"/>
            <w:vAlign w:val="center"/>
          </w:tcPr>
          <w:p>
            <w:pPr>
              <w:pStyle w:val="TableContents"/>
              <w:bidi w:val="0"/>
              <w:spacing w:before="0" w:after="283"/>
              <w:jc w:val="both"/>
              <w:rPr/>
            </w:pPr>
            <w:r>
              <w:rPr/>
              <w:t> </w:t>
            </w:r>
          </w:p>
        </w:tc>
        <w:tc>
          <w:tcPr>
            <w:tcW w:w="184"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52,239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both"/>
              <w:rPr/>
            </w:pPr>
            <w:r>
              <w:rPr/>
              <w:t> </w:t>
            </w:r>
          </w:p>
        </w:tc>
        <w:tc>
          <w:tcPr>
            <w:tcW w:w="184"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50,787</w:t>
            </w:r>
          </w:p>
        </w:tc>
        <w:tc>
          <w:tcPr>
            <w:tcW w:w="146" w:type="dxa"/>
            <w:tcBorders/>
            <w:shd w:fill="CCEEFF" w:val="clear"/>
            <w:vAlign w:val="center"/>
          </w:tcPr>
          <w:p>
            <w:pPr>
              <w:pStyle w:val="TableContents"/>
              <w:bidi w:val="0"/>
              <w:spacing w:before="0" w:after="283"/>
              <w:jc w:val="left"/>
              <w:rPr/>
            </w:pPr>
            <w:r>
              <w:rPr/>
              <w:t> </w:t>
            </w:r>
          </w:p>
        </w:tc>
      </w:tr>
      <w:tr>
        <w:trPr/>
        <w:tc>
          <w:tcPr>
            <w:tcW w:w="6335" w:type="dxa"/>
            <w:tcBorders>
              <w:bottom w:val="single" w:sz="12" w:space="0" w:color="000000"/>
            </w:tcBorders>
            <w:tcMar>
              <w:bottom w:w="28" w:type="dxa"/>
            </w:tcMar>
            <w:vAlign w:val="center"/>
          </w:tcPr>
          <w:p>
            <w:pPr>
              <w:pStyle w:val="TableContents"/>
              <w:bidi w:val="0"/>
              <w:spacing w:before="0" w:after="0"/>
              <w:jc w:val="left"/>
              <w:rPr/>
            </w:pPr>
            <w:r>
              <w:rPr/>
              <w:t xml:space="preserve">Net income available to common stockholders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69" w:type="dxa"/>
            <w:tcBorders>
              <w:bottom w:val="single" w:sz="12" w:space="0" w:color="000000"/>
            </w:tcBorders>
            <w:tcMar>
              <w:bottom w:w="28" w:type="dxa"/>
            </w:tcMar>
            <w:vAlign w:val="center"/>
          </w:tcPr>
          <w:p>
            <w:pPr>
              <w:pStyle w:val="TableContents"/>
              <w:bidi w:val="0"/>
              <w:spacing w:before="0" w:after="283"/>
              <w:jc w:val="right"/>
              <w:rPr>
                <w:b/>
              </w:rPr>
            </w:pPr>
            <w:r>
              <w:rPr>
                <w:b/>
              </w:rPr>
              <w:t>53,030</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w:t>
            </w:r>
          </w:p>
        </w:tc>
        <w:tc>
          <w:tcPr>
            <w:tcW w:w="769" w:type="dxa"/>
            <w:tcBorders>
              <w:bottom w:val="single" w:sz="12" w:space="0" w:color="000000"/>
            </w:tcBorders>
            <w:tcMar>
              <w:bottom w:w="28" w:type="dxa"/>
            </w:tcMar>
            <w:vAlign w:val="center"/>
          </w:tcPr>
          <w:p>
            <w:pPr>
              <w:pStyle w:val="TableContents"/>
              <w:bidi w:val="0"/>
              <w:spacing w:before="0" w:after="283"/>
              <w:jc w:val="right"/>
              <w:rPr/>
            </w:pPr>
            <w:r>
              <w:rPr/>
              <w:t>22,510</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335" w:type="dxa"/>
            <w:tcBorders>
              <w:bottom w:val="single" w:sz="12" w:space="0" w:color="000000"/>
            </w:tcBorders>
            <w:shd w:fill="CCEEFF" w:val="clear"/>
            <w:tcMar>
              <w:bottom w:w="28" w:type="dxa"/>
            </w:tcMar>
            <w:vAlign w:val="center"/>
          </w:tcPr>
          <w:p>
            <w:pPr>
              <w:pStyle w:val="TableContents"/>
              <w:bidi w:val="0"/>
              <w:spacing w:before="0" w:after="283"/>
              <w:jc w:val="left"/>
              <w:rPr/>
            </w:pPr>
            <w:r>
              <w:rPr/>
              <w:t>Diluted EPS</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pPr>
            <w:r>
              <w:rPr/>
              <w:t>0.44</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8620" w:type="dxa"/>
        <w:jc w:val="left"/>
        <w:tblInd w:w="0" w:type="dxa"/>
        <w:tblLayout w:type="fixed"/>
        <w:tblCellMar>
          <w:top w:w="0" w:type="dxa"/>
          <w:left w:w="0" w:type="dxa"/>
          <w:bottom w:w="0" w:type="dxa"/>
          <w:right w:w="0" w:type="dxa"/>
        </w:tblCellMar>
      </w:tblPr>
      <w:tblGrid>
        <w:gridCol w:w="6335"/>
        <w:gridCol w:w="90"/>
        <w:gridCol w:w="170"/>
        <w:gridCol w:w="830"/>
        <w:gridCol w:w="90"/>
        <w:gridCol w:w="90"/>
        <w:gridCol w:w="170"/>
        <w:gridCol w:w="710"/>
        <w:gridCol w:w="135"/>
      </w:tblGrid>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 </w:t>
            </w:r>
          </w:p>
        </w:tc>
        <w:tc>
          <w:tcPr>
            <w:tcW w:w="2285" w:type="dxa"/>
            <w:gridSpan w:val="8"/>
            <w:tcBorders/>
            <w:vAlign w:val="center"/>
          </w:tcPr>
          <w:p>
            <w:pPr>
              <w:pStyle w:val="TableContents"/>
              <w:bidi w:val="0"/>
              <w:spacing w:before="0" w:after="283"/>
              <w:jc w:val="center"/>
              <w:rPr/>
            </w:pPr>
            <w:r>
              <w:rPr>
                <w:b/>
              </w:rPr>
              <w:t>Six Months Ended</w:t>
            </w:r>
            <w:r>
              <w:rPr/>
              <w:t xml:space="preserve"> </w:t>
            </w:r>
          </w:p>
        </w:tc>
      </w:tr>
      <w:tr>
        <w:trPr/>
        <w:tc>
          <w:tcPr>
            <w:tcW w:w="63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2060" w:type="dxa"/>
            <w:gridSpan w:val="6"/>
            <w:tcBorders>
              <w:bottom w:val="single" w:sz="12" w:space="0" w:color="000000"/>
            </w:tcBorders>
            <w:tcMar>
              <w:bottom w:w="28" w:type="dxa"/>
            </w:tcMar>
            <w:vAlign w:val="center"/>
          </w:tcPr>
          <w:p>
            <w:pPr>
              <w:pStyle w:val="TableContents"/>
              <w:bidi w:val="0"/>
              <w:spacing w:before="0" w:after="283"/>
              <w:jc w:val="center"/>
              <w:rPr/>
            </w:pPr>
            <w:r>
              <w:rPr>
                <w:b/>
              </w:rPr>
              <w:t>June 30,</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33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6335" w:type="dxa"/>
            <w:tcBorders/>
            <w:vAlign w:val="center"/>
          </w:tcPr>
          <w:p>
            <w:pPr>
              <w:pStyle w:val="TableContents"/>
              <w:bidi w:val="0"/>
              <w:spacing w:before="0" w:after="0"/>
              <w:ind w:left="0" w:right="0" w:hanging="144"/>
              <w:jc w:val="left"/>
              <w:rPr/>
            </w:pPr>
            <w:r>
              <w:rPr/>
              <w:t xml:space="preserve">Basic EPS: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jc w:val="left"/>
              <w:rPr/>
            </w:pPr>
            <w:r>
              <w:rPr/>
              <w:t xml:space="preserve">Weighted average common shares outstanding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52,052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48,919</w:t>
            </w:r>
          </w:p>
        </w:tc>
        <w:tc>
          <w:tcPr>
            <w:tcW w:w="135" w:type="dxa"/>
            <w:tcBorders/>
            <w:shd w:fill="CCEEFF" w:val="clear"/>
            <w:vAlign w:val="center"/>
          </w:tcPr>
          <w:p>
            <w:pPr>
              <w:pStyle w:val="TableContents"/>
              <w:bidi w:val="0"/>
              <w:spacing w:before="0" w:after="283"/>
              <w:jc w:val="left"/>
              <w:rPr/>
            </w:pPr>
            <w:r>
              <w:rPr/>
              <w:t> </w:t>
            </w:r>
          </w:p>
        </w:tc>
      </w:tr>
      <w:tr>
        <w:trPr/>
        <w:tc>
          <w:tcPr>
            <w:tcW w:w="6335" w:type="dxa"/>
            <w:tcBorders>
              <w:bottom w:val="single" w:sz="12" w:space="0" w:color="000000"/>
            </w:tcBorders>
            <w:tcMar>
              <w:bottom w:w="28" w:type="dxa"/>
            </w:tcMar>
            <w:vAlign w:val="center"/>
          </w:tcPr>
          <w:p>
            <w:pPr>
              <w:pStyle w:val="TableContents"/>
              <w:bidi w:val="0"/>
              <w:spacing w:before="0" w:after="0"/>
              <w:jc w:val="left"/>
              <w:rPr/>
            </w:pPr>
            <w:r>
              <w:rPr/>
              <w:t xml:space="preserve">Net income available to common stockholders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104,172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59,255</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3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Basic EPS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0"/>
              <w:ind w:left="0" w:right="0" w:hanging="144"/>
              <w:jc w:val="left"/>
              <w:rPr/>
            </w:pPr>
            <w:r>
              <w:rPr/>
              <w:t xml:space="preserve">Diluted EPS: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jc w:val="left"/>
              <w:rPr/>
            </w:pPr>
            <w:r>
              <w:rPr/>
              <w:t xml:space="preserve">Weighted average common shares outstanding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52,052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48,919</w:t>
            </w:r>
          </w:p>
        </w:tc>
        <w:tc>
          <w:tcPr>
            <w:tcW w:w="135" w:type="dxa"/>
            <w:tcBorders/>
            <w:shd w:fill="CCEEFF" w:val="clear"/>
            <w:vAlign w:val="center"/>
          </w:tcPr>
          <w:p>
            <w:pPr>
              <w:pStyle w:val="TableContents"/>
              <w:bidi w:val="0"/>
              <w:spacing w:before="0" w:after="283"/>
              <w:jc w:val="left"/>
              <w:rPr/>
            </w:pPr>
            <w:r>
              <w:rPr/>
              <w:t> </w:t>
            </w:r>
          </w:p>
        </w:tc>
      </w:tr>
      <w:tr>
        <w:trPr/>
        <w:tc>
          <w:tcPr>
            <w:tcW w:w="6335" w:type="dxa"/>
            <w:tcBorders>
              <w:bottom w:val="single" w:sz="12" w:space="0" w:color="000000"/>
            </w:tcBorders>
            <w:tcMar>
              <w:bottom w:w="28" w:type="dxa"/>
            </w:tcMar>
            <w:vAlign w:val="center"/>
          </w:tcPr>
          <w:p>
            <w:pPr>
              <w:pStyle w:val="TableContents"/>
              <w:bidi w:val="0"/>
              <w:spacing w:before="0" w:after="0"/>
              <w:jc w:val="left"/>
              <w:rPr/>
            </w:pPr>
            <w:r>
              <w:rPr/>
              <w:t xml:space="preserve">Dilutive effect of common stock options and restricted stock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238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224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jc w:val="left"/>
              <w:rPr/>
            </w:pPr>
            <w:r>
              <w:rPr/>
              <w:t xml:space="preserve">Weighted average common shares and common share equivalents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52,290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49,143</w:t>
            </w:r>
          </w:p>
        </w:tc>
        <w:tc>
          <w:tcPr>
            <w:tcW w:w="135" w:type="dxa"/>
            <w:tcBorders/>
            <w:shd w:fill="CCEEFF" w:val="clear"/>
            <w:vAlign w:val="center"/>
          </w:tcPr>
          <w:p>
            <w:pPr>
              <w:pStyle w:val="TableContents"/>
              <w:bidi w:val="0"/>
              <w:spacing w:before="0" w:after="283"/>
              <w:jc w:val="left"/>
              <w:rPr/>
            </w:pPr>
            <w:r>
              <w:rPr/>
              <w:t> </w:t>
            </w:r>
          </w:p>
        </w:tc>
      </w:tr>
      <w:tr>
        <w:trPr/>
        <w:tc>
          <w:tcPr>
            <w:tcW w:w="6335" w:type="dxa"/>
            <w:tcBorders>
              <w:bottom w:val="single" w:sz="12" w:space="0" w:color="000000"/>
            </w:tcBorders>
            <w:tcMar>
              <w:bottom w:w="28" w:type="dxa"/>
            </w:tcMar>
            <w:vAlign w:val="center"/>
          </w:tcPr>
          <w:p>
            <w:pPr>
              <w:pStyle w:val="TableContents"/>
              <w:bidi w:val="0"/>
              <w:spacing w:before="0" w:after="0"/>
              <w:jc w:val="left"/>
              <w:rPr/>
            </w:pPr>
            <w:r>
              <w:rPr/>
              <w:t xml:space="preserve">Net income available to common stockholders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104,172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59,255</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33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Diluted EPS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were twenty-three thousand shares of anti-dilutive restricted stock outstanding for the three months ended June 30, 2025 that were not considered in the calculation of diluted EPS. There were no shares of anti-dilutive restricted stock outstanding for the three and six months ended June 30, 2026 and the six months ended June 30, 2025.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11. Reclassification Adjustments Out of Other Comprehensive Income (Loss)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summarizes the reclassification adjustments out of AOCI: </w:t>
      </w:r>
    </w:p>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4399"/>
        <w:gridCol w:w="90"/>
        <w:gridCol w:w="366"/>
        <w:gridCol w:w="780"/>
        <w:gridCol w:w="367"/>
        <w:gridCol w:w="178"/>
        <w:gridCol w:w="339"/>
        <w:gridCol w:w="818"/>
        <w:gridCol w:w="185"/>
        <w:gridCol w:w="2683"/>
      </w:tblGrid>
      <w:tr>
        <w:trPr/>
        <w:tc>
          <w:tcPr>
            <w:tcW w:w="4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683" w:type="dxa"/>
            <w:tcBorders/>
            <w:vAlign w:val="center"/>
          </w:tcPr>
          <w:p>
            <w:pPr>
              <w:pStyle w:val="TableContents"/>
              <w:bidi w:val="0"/>
              <w:spacing w:before="0" w:after="283"/>
              <w:jc w:val="left"/>
              <w:rPr/>
            </w:pPr>
            <w:r>
              <w:rPr/>
              <w:t> </w:t>
            </w:r>
          </w:p>
        </w:tc>
      </w:tr>
      <w:tr>
        <w:trPr/>
        <w:tc>
          <w:tcPr>
            <w:tcW w:w="4399" w:type="dxa"/>
            <w:tcBorders>
              <w:bottom w:val="single" w:sz="12" w:space="0" w:color="000000"/>
            </w:tcBorders>
            <w:tcMar>
              <w:bottom w:w="28" w:type="dxa"/>
            </w:tcMar>
          </w:tcPr>
          <w:p>
            <w:pPr>
              <w:pStyle w:val="TableContents"/>
              <w:bidi w:val="0"/>
              <w:spacing w:before="0" w:after="283"/>
              <w:ind w:left="0" w:right="0" w:hanging="135"/>
              <w:jc w:val="left"/>
              <w:rPr>
                <w:b/>
                <w:spacing w:val="0"/>
              </w:rPr>
            </w:pPr>
            <w:r>
              <w:rPr>
                <w:b/>
                <w:spacing w:val="0"/>
              </w:rPr>
              <w:t>Detail About AOCI Components</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2848" w:type="dxa"/>
            <w:gridSpan w:val="6"/>
            <w:tcBorders>
              <w:bottom w:val="single" w:sz="12" w:space="0" w:color="000000"/>
            </w:tcBorders>
            <w:tcMar>
              <w:bottom w:w="28" w:type="dxa"/>
            </w:tcMar>
          </w:tcPr>
          <w:p>
            <w:pPr>
              <w:pStyle w:val="TableContents"/>
              <w:bidi w:val="0"/>
              <w:spacing w:before="0" w:after="283"/>
              <w:jc w:val="center"/>
              <w:rPr/>
            </w:pPr>
            <w:r>
              <w:rPr>
                <w:b/>
                <w:spacing w:val="0"/>
              </w:rPr>
              <w:t>Amount Reclassified from AOCI</w:t>
            </w:r>
            <w:r>
              <w:rPr/>
              <w:t xml:space="preserve"> </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2683" w:type="dxa"/>
            <w:tcBorders>
              <w:bottom w:val="single" w:sz="12" w:space="0" w:color="000000"/>
            </w:tcBorders>
            <w:tcMar>
              <w:bottom w:w="28" w:type="dxa"/>
            </w:tcMar>
          </w:tcPr>
          <w:p>
            <w:pPr>
              <w:pStyle w:val="TableContents"/>
              <w:bidi w:val="0"/>
              <w:spacing w:before="0" w:after="0"/>
              <w:ind w:left="0" w:right="0" w:hanging="0"/>
              <w:jc w:val="center"/>
              <w:rPr>
                <w:b/>
              </w:rPr>
            </w:pPr>
            <w:r>
              <w:rPr>
                <w:b/>
              </w:rPr>
              <w:t>Affected line item in the</w:t>
            </w:r>
          </w:p>
          <w:p>
            <w:pPr>
              <w:pStyle w:val="TableContents"/>
              <w:bidi w:val="0"/>
              <w:spacing w:before="0" w:after="0"/>
              <w:jc w:val="center"/>
              <w:rPr>
                <w:b/>
              </w:rPr>
            </w:pPr>
            <w:r>
              <w:rPr>
                <w:b/>
              </w:rPr>
              <w:t>Consolidated Statement of</w:t>
              <w:br/>
              <w:t>Comprehensive Income (Loss)</w:t>
            </w:r>
          </w:p>
        </w:tc>
      </w:tr>
      <w:tr>
        <w:trPr/>
        <w:tc>
          <w:tcPr>
            <w:tcW w:w="4399" w:type="dxa"/>
            <w:tcBorders/>
          </w:tcPr>
          <w:p>
            <w:pPr>
              <w:pStyle w:val="TableContents"/>
              <w:bidi w:val="0"/>
              <w:spacing w:before="0" w:after="283"/>
              <w:jc w:val="left"/>
              <w:rPr/>
            </w:pPr>
            <w:r>
              <w:rPr/>
              <w:t> </w:t>
            </w:r>
          </w:p>
        </w:tc>
        <w:tc>
          <w:tcPr>
            <w:tcW w:w="3123" w:type="dxa"/>
            <w:gridSpan w:val="8"/>
            <w:tcBorders/>
          </w:tcPr>
          <w:p>
            <w:pPr>
              <w:pStyle w:val="TableContents"/>
              <w:bidi w:val="0"/>
              <w:spacing w:before="0" w:after="0"/>
              <w:ind w:left="0" w:right="0" w:hanging="0"/>
              <w:jc w:val="center"/>
              <w:rPr>
                <w:b/>
              </w:rPr>
            </w:pPr>
            <w:r>
              <w:rPr>
                <w:b/>
              </w:rPr>
              <w:t>Three Months Ended</w:t>
            </w:r>
          </w:p>
        </w:tc>
        <w:tc>
          <w:tcPr>
            <w:tcW w:w="2683" w:type="dxa"/>
            <w:tcBorders/>
          </w:tcPr>
          <w:p>
            <w:pPr>
              <w:pStyle w:val="TableContents"/>
              <w:bidi w:val="0"/>
              <w:spacing w:before="0" w:after="283"/>
              <w:jc w:val="left"/>
              <w:rPr/>
            </w:pPr>
            <w:r>
              <w:rPr/>
              <w:t> </w:t>
            </w:r>
          </w:p>
        </w:tc>
      </w:tr>
      <w:tr>
        <w:trPr/>
        <w:tc>
          <w:tcPr>
            <w:tcW w:w="4399" w:type="dxa"/>
            <w:tcBorders>
              <w:bottom w:val="single" w:sz="12" w:space="0" w:color="000000"/>
            </w:tcBorders>
            <w:tcMar>
              <w:bottom w:w="28" w:type="dxa"/>
            </w:tcMar>
          </w:tcPr>
          <w:p>
            <w:pPr>
              <w:pStyle w:val="TableContents"/>
              <w:bidi w:val="0"/>
              <w:spacing w:before="0" w:after="0"/>
              <w:ind w:left="144" w:right="0" w:hanging="144"/>
              <w:jc w:val="left"/>
              <w:rPr>
                <w:i/>
              </w:rPr>
            </w:pPr>
            <w:r>
              <w:rPr>
                <w:i/>
              </w:rPr>
              <w:t>(In thousands)</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146"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June 30, 2026</w:t>
            </w:r>
          </w:p>
        </w:tc>
        <w:tc>
          <w:tcPr>
            <w:tcW w:w="367" w:type="dxa"/>
            <w:tcBorders>
              <w:bottom w:val="single" w:sz="12" w:space="0" w:color="000000"/>
            </w:tcBorders>
            <w:tcMar>
              <w:bottom w:w="28" w:type="dxa"/>
            </w:tcMar>
          </w:tcPr>
          <w:p>
            <w:pPr>
              <w:pStyle w:val="TableContents"/>
              <w:bidi w:val="0"/>
              <w:spacing w:before="0" w:after="283"/>
              <w:jc w:val="left"/>
              <w:rPr/>
            </w:pPr>
            <w:r>
              <w:rPr/>
              <w:t> </w:t>
            </w:r>
          </w:p>
        </w:tc>
        <w:tc>
          <w:tcPr>
            <w:tcW w:w="178" w:type="dxa"/>
            <w:tcBorders>
              <w:bottom w:val="single" w:sz="12" w:space="0" w:color="000000"/>
            </w:tcBorders>
            <w:tcMar>
              <w:bottom w:w="28" w:type="dxa"/>
            </w:tcMa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June 30, 2025</w:t>
            </w:r>
          </w:p>
        </w:tc>
        <w:tc>
          <w:tcPr>
            <w:tcW w:w="185" w:type="dxa"/>
            <w:tcBorders>
              <w:bottom w:val="single" w:sz="12" w:space="0" w:color="000000"/>
            </w:tcBorders>
            <w:tcMar>
              <w:bottom w:w="28" w:type="dxa"/>
            </w:tcMar>
          </w:tcPr>
          <w:p>
            <w:pPr>
              <w:pStyle w:val="TableContents"/>
              <w:bidi w:val="0"/>
              <w:spacing w:before="0" w:after="283"/>
              <w:jc w:val="left"/>
              <w:rPr/>
            </w:pPr>
            <w:r>
              <w:rPr/>
              <w:t> </w:t>
            </w:r>
          </w:p>
        </w:tc>
        <w:tc>
          <w:tcPr>
            <w:tcW w:w="2683" w:type="dxa"/>
            <w:tcBorders>
              <w:bottom w:val="single" w:sz="12" w:space="0" w:color="000000"/>
            </w:tcBorders>
            <w:tcMar>
              <w:bottom w:w="28" w:type="dxa"/>
            </w:tcMar>
          </w:tcPr>
          <w:p>
            <w:pPr>
              <w:pStyle w:val="TableContents"/>
              <w:bidi w:val="0"/>
              <w:spacing w:before="0" w:after="283"/>
              <w:jc w:val="left"/>
              <w:rPr/>
            </w:pPr>
            <w:r>
              <w:rPr/>
              <w:t> </w:t>
            </w:r>
          </w:p>
        </w:tc>
      </w:tr>
      <w:tr>
        <w:trPr/>
        <w:tc>
          <w:tcPr>
            <w:tcW w:w="4399" w:type="dxa"/>
            <w:tcBorders/>
          </w:tcPr>
          <w:p>
            <w:pPr>
              <w:pStyle w:val="TableContents"/>
              <w:bidi w:val="0"/>
              <w:spacing w:before="0" w:after="0"/>
              <w:ind w:left="144" w:right="0" w:hanging="144"/>
              <w:jc w:val="left"/>
              <w:rPr/>
            </w:pPr>
            <w:r>
              <w:rPr/>
              <w:t>AFS securities:</w:t>
            </w:r>
          </w:p>
        </w:tc>
        <w:tc>
          <w:tcPr>
            <w:tcW w:w="90" w:type="dxa"/>
            <w:tcBorders/>
          </w:tcPr>
          <w:p>
            <w:pPr>
              <w:pStyle w:val="TableContents"/>
              <w:bidi w:val="0"/>
              <w:spacing w:before="0" w:after="283"/>
              <w:jc w:val="left"/>
              <w:rPr/>
            </w:pPr>
            <w:r>
              <w:rPr/>
              <w:t> </w:t>
            </w:r>
          </w:p>
        </w:tc>
        <w:tc>
          <w:tcPr>
            <w:tcW w:w="366" w:type="dxa"/>
            <w:tcBorders/>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 </w:t>
            </w:r>
          </w:p>
        </w:tc>
        <w:tc>
          <w:tcPr>
            <w:tcW w:w="178" w:type="dxa"/>
            <w:tcBorders/>
          </w:tcPr>
          <w:p>
            <w:pPr>
              <w:pStyle w:val="TableContents"/>
              <w:bidi w:val="0"/>
              <w:spacing w:before="0" w:after="283"/>
              <w:jc w:val="left"/>
              <w:rPr/>
            </w:pPr>
            <w:r>
              <w:rPr/>
              <w:t> </w:t>
            </w:r>
          </w:p>
        </w:tc>
        <w:tc>
          <w:tcPr>
            <w:tcW w:w="339" w:type="dxa"/>
            <w:tcBorders/>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2683" w:type="dxa"/>
            <w:tcBorders/>
          </w:tcPr>
          <w:p>
            <w:pPr>
              <w:pStyle w:val="TableContents"/>
              <w:bidi w:val="0"/>
              <w:spacing w:before="0" w:after="283"/>
              <w:ind w:left="0" w:right="0" w:hanging="150"/>
              <w:jc w:val="left"/>
              <w:rPr/>
            </w:pPr>
            <w:r>
              <w:rPr/>
              <w:t> </w:t>
            </w:r>
          </w:p>
        </w:tc>
      </w:tr>
      <w:tr>
        <w:trPr/>
        <w:tc>
          <w:tcPr>
            <w:tcW w:w="439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Amortization of unrealized gains related to securities transfer</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66"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78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55</w:t>
            </w:r>
          </w:p>
        </w:tc>
        <w:tc>
          <w:tcPr>
            <w:tcW w:w="367"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7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3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18"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70</w:t>
            </w:r>
          </w:p>
        </w:tc>
        <w:tc>
          <w:tcPr>
            <w:tcW w:w="185" w:type="dxa"/>
            <w:tcBorders>
              <w:bottom w:val="single" w:sz="12" w:space="0" w:color="000000"/>
            </w:tcBorders>
            <w:shd w:fill="CCEEFF" w:val="clear"/>
            <w:tcMar>
              <w:bottom w:w="28" w:type="dxa"/>
            </w:tcMar>
          </w:tcPr>
          <w:p>
            <w:pPr>
              <w:pStyle w:val="TableContents"/>
              <w:bidi w:val="0"/>
              <w:spacing w:before="0" w:after="0"/>
              <w:jc w:val="left"/>
              <w:rPr/>
            </w:pPr>
            <w:r>
              <w:rPr/>
              <w:t> </w:t>
            </w:r>
          </w:p>
        </w:tc>
        <w:tc>
          <w:tcPr>
            <w:tcW w:w="268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Interest income</w:t>
            </w:r>
          </w:p>
        </w:tc>
      </w:tr>
      <w:tr>
        <w:trPr/>
        <w:tc>
          <w:tcPr>
            <w:tcW w:w="4399" w:type="dxa"/>
            <w:tcBorders>
              <w:bottom w:val="single" w:sz="12" w:space="0" w:color="000000"/>
            </w:tcBorders>
            <w:tcMar>
              <w:bottom w:w="28" w:type="dxa"/>
            </w:tcMar>
          </w:tcPr>
          <w:p>
            <w:pPr>
              <w:pStyle w:val="TableContents"/>
              <w:bidi w:val="0"/>
              <w:spacing w:before="0" w:after="0"/>
              <w:ind w:left="0" w:right="0" w:hanging="0"/>
              <w:jc w:val="left"/>
              <w:rPr/>
            </w:pPr>
            <w:r>
              <w:rPr/>
              <w:t>Tax effect</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66"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780" w:type="dxa"/>
            <w:tcBorders>
              <w:bottom w:val="single" w:sz="12" w:space="0" w:color="000000"/>
            </w:tcBorders>
            <w:tcMar>
              <w:bottom w:w="28" w:type="dxa"/>
            </w:tcMar>
          </w:tcPr>
          <w:p>
            <w:pPr>
              <w:pStyle w:val="TableContents"/>
              <w:bidi w:val="0"/>
              <w:spacing w:before="0" w:after="0"/>
              <w:ind w:left="0" w:right="0" w:hanging="0"/>
              <w:jc w:val="right"/>
              <w:rPr>
                <w:b/>
              </w:rPr>
            </w:pPr>
            <w:r>
              <w:rPr>
                <w:b/>
              </w:rPr>
              <w:t>(13</w:t>
            </w:r>
          </w:p>
        </w:tc>
        <w:tc>
          <w:tcPr>
            <w:tcW w:w="367" w:type="dxa"/>
            <w:tcBorders>
              <w:bottom w:val="single" w:sz="12" w:space="0" w:color="000000"/>
            </w:tcBorders>
            <w:tcMar>
              <w:bottom w:w="28" w:type="dxa"/>
            </w:tcMar>
          </w:tcPr>
          <w:p>
            <w:pPr>
              <w:pStyle w:val="TableContents"/>
              <w:bidi w:val="0"/>
              <w:spacing w:before="0" w:after="0"/>
              <w:ind w:left="0" w:right="0" w:hanging="0"/>
              <w:jc w:val="left"/>
              <w:rPr>
                <w:b/>
              </w:rPr>
            </w:pPr>
            <w:r>
              <w:rPr>
                <w:b/>
              </w:rPr>
              <w:t>) </w:t>
            </w:r>
          </w:p>
        </w:tc>
        <w:tc>
          <w:tcPr>
            <w:tcW w:w="178"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39"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818" w:type="dxa"/>
            <w:tcBorders>
              <w:bottom w:val="single" w:sz="12" w:space="0" w:color="000000"/>
            </w:tcBorders>
            <w:tcMar>
              <w:bottom w:w="28" w:type="dxa"/>
            </w:tcMar>
          </w:tcPr>
          <w:p>
            <w:pPr>
              <w:pStyle w:val="TableContents"/>
              <w:bidi w:val="0"/>
              <w:spacing w:before="0" w:after="0"/>
              <w:ind w:left="0" w:right="0" w:hanging="0"/>
              <w:jc w:val="right"/>
              <w:rPr/>
            </w:pPr>
            <w:r>
              <w:rPr/>
              <w:t>(17</w:t>
            </w:r>
          </w:p>
        </w:tc>
        <w:tc>
          <w:tcPr>
            <w:tcW w:w="185" w:type="dxa"/>
            <w:tcBorders>
              <w:bottom w:val="single" w:sz="12" w:space="0" w:color="000000"/>
            </w:tcBorders>
            <w:tcMar>
              <w:bottom w:w="28" w:type="dxa"/>
            </w:tcMar>
          </w:tcPr>
          <w:p>
            <w:pPr>
              <w:pStyle w:val="TableContents"/>
              <w:bidi w:val="0"/>
              <w:spacing w:before="0" w:after="0"/>
              <w:jc w:val="left"/>
              <w:rPr/>
            </w:pPr>
            <w:r>
              <w:rPr/>
              <w:t>) </w:t>
            </w:r>
          </w:p>
        </w:tc>
        <w:tc>
          <w:tcPr>
            <w:tcW w:w="2683" w:type="dxa"/>
            <w:tcBorders>
              <w:bottom w:val="single" w:sz="12" w:space="0" w:color="000000"/>
            </w:tcBorders>
            <w:tcMar>
              <w:bottom w:w="28" w:type="dxa"/>
            </w:tcMar>
          </w:tcPr>
          <w:p>
            <w:pPr>
              <w:pStyle w:val="TableContents"/>
              <w:bidi w:val="0"/>
              <w:spacing w:before="0" w:after="0"/>
              <w:ind w:left="0" w:right="0" w:hanging="0"/>
              <w:jc w:val="left"/>
              <w:rPr/>
            </w:pPr>
            <w:r>
              <w:rPr/>
              <w:t>Income tax (benefit)</w:t>
            </w:r>
          </w:p>
        </w:tc>
      </w:tr>
      <w:tr>
        <w:trPr/>
        <w:tc>
          <w:tcPr>
            <w:tcW w:w="439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Net of tax</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66"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78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42</w:t>
            </w:r>
          </w:p>
        </w:tc>
        <w:tc>
          <w:tcPr>
            <w:tcW w:w="367"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7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3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18"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53</w:t>
            </w:r>
          </w:p>
        </w:tc>
        <w:tc>
          <w:tcPr>
            <w:tcW w:w="185" w:type="dxa"/>
            <w:tcBorders>
              <w:bottom w:val="single" w:sz="12" w:space="0" w:color="000000"/>
            </w:tcBorders>
            <w:shd w:fill="CCEEFF" w:val="clear"/>
            <w:tcMar>
              <w:bottom w:w="28" w:type="dxa"/>
            </w:tcMar>
          </w:tcPr>
          <w:p>
            <w:pPr>
              <w:pStyle w:val="TableContents"/>
              <w:bidi w:val="0"/>
              <w:spacing w:before="0" w:after="0"/>
              <w:jc w:val="left"/>
              <w:rPr/>
            </w:pPr>
            <w:r>
              <w:rPr/>
              <w:t> </w:t>
            </w:r>
          </w:p>
        </w:tc>
        <w:tc>
          <w:tcPr>
            <w:tcW w:w="2683" w:type="dxa"/>
            <w:tcBorders>
              <w:bottom w:val="single" w:sz="12" w:space="0" w:color="000000"/>
            </w:tcBorders>
            <w:shd w:fill="CCEEFF" w:val="clear"/>
            <w:tcMar>
              <w:bottom w:w="28" w:type="dxa"/>
            </w:tcMar>
          </w:tcPr>
          <w:p>
            <w:pPr>
              <w:pStyle w:val="TableContents"/>
              <w:bidi w:val="0"/>
              <w:spacing w:before="0" w:after="283"/>
              <w:jc w:val="left"/>
              <w:rPr/>
            </w:pPr>
            <w:r>
              <w:rPr/>
              <w:t> </w:t>
            </w:r>
          </w:p>
        </w:tc>
      </w:tr>
      <w:tr>
        <w:trPr/>
        <w:tc>
          <w:tcPr>
            <w:tcW w:w="4399" w:type="dxa"/>
            <w:tcBorders/>
          </w:tcPr>
          <w:p>
            <w:pPr>
              <w:pStyle w:val="TableContents"/>
              <w:bidi w:val="0"/>
              <w:spacing w:before="0" w:after="0"/>
              <w:ind w:left="144" w:right="0" w:hanging="144"/>
              <w:jc w:val="left"/>
              <w:rPr/>
            </w:pPr>
            <w:r>
              <w:rPr/>
              <w:t>Pension and other benefits:</w:t>
            </w:r>
          </w:p>
        </w:tc>
        <w:tc>
          <w:tcPr>
            <w:tcW w:w="90" w:type="dxa"/>
            <w:tcBorders/>
          </w:tcPr>
          <w:p>
            <w:pPr>
              <w:pStyle w:val="TableContents"/>
              <w:bidi w:val="0"/>
              <w:spacing w:before="0" w:after="283"/>
              <w:jc w:val="left"/>
              <w:rPr/>
            </w:pPr>
            <w:r>
              <w:rPr/>
              <w:t> </w:t>
            </w:r>
          </w:p>
        </w:tc>
        <w:tc>
          <w:tcPr>
            <w:tcW w:w="366" w:type="dxa"/>
            <w:tcBorders/>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 </w:t>
            </w:r>
          </w:p>
        </w:tc>
        <w:tc>
          <w:tcPr>
            <w:tcW w:w="178" w:type="dxa"/>
            <w:tcBorders/>
          </w:tcPr>
          <w:p>
            <w:pPr>
              <w:pStyle w:val="TableContents"/>
              <w:bidi w:val="0"/>
              <w:spacing w:before="0" w:after="283"/>
              <w:jc w:val="left"/>
              <w:rPr/>
            </w:pPr>
            <w:r>
              <w:rPr/>
              <w:t> </w:t>
            </w:r>
          </w:p>
        </w:tc>
        <w:tc>
          <w:tcPr>
            <w:tcW w:w="339" w:type="dxa"/>
            <w:tcBorders/>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2683" w:type="dxa"/>
            <w:tcBorders/>
          </w:tcPr>
          <w:p>
            <w:pPr>
              <w:pStyle w:val="TableContents"/>
              <w:bidi w:val="0"/>
              <w:spacing w:before="0" w:after="283"/>
              <w:jc w:val="left"/>
              <w:rPr/>
            </w:pPr>
            <w:r>
              <w:rPr/>
              <w:t> </w:t>
            </w:r>
          </w:p>
        </w:tc>
      </w:tr>
      <w:tr>
        <w:trPr/>
        <w:tc>
          <w:tcPr>
            <w:tcW w:w="4399" w:type="dxa"/>
            <w:tcBorders/>
            <w:shd w:fill="CCEEFF" w:val="clear"/>
          </w:tcPr>
          <w:p>
            <w:pPr>
              <w:pStyle w:val="TableContents"/>
              <w:bidi w:val="0"/>
              <w:spacing w:before="0" w:after="0"/>
              <w:ind w:left="0" w:right="0" w:hanging="0"/>
              <w:jc w:val="left"/>
              <w:rPr/>
            </w:pPr>
            <w:r>
              <w:rPr/>
              <w:t>Amortization of net losses</w:t>
            </w:r>
          </w:p>
        </w:tc>
        <w:tc>
          <w:tcPr>
            <w:tcW w:w="90" w:type="dxa"/>
            <w:tcBorders/>
            <w:shd w:fill="CCEEFF" w:val="clear"/>
          </w:tcPr>
          <w:p>
            <w:pPr>
              <w:pStyle w:val="TableContents"/>
              <w:bidi w:val="0"/>
              <w:spacing w:before="0" w:after="0"/>
              <w:ind w:left="0" w:right="0" w:hanging="0"/>
              <w:jc w:val="left"/>
              <w:rPr/>
            </w:pPr>
            <w:r>
              <w:rPr/>
              <w:t> </w:t>
            </w:r>
          </w:p>
        </w:tc>
        <w:tc>
          <w:tcPr>
            <w:tcW w:w="366" w:type="dxa"/>
            <w:tcBorders/>
            <w:shd w:fill="CCEEFF" w:val="clear"/>
          </w:tcPr>
          <w:p>
            <w:pPr>
              <w:pStyle w:val="TableContents"/>
              <w:bidi w:val="0"/>
              <w:spacing w:before="0" w:after="0"/>
              <w:ind w:left="0" w:right="0" w:hanging="0"/>
              <w:jc w:val="left"/>
              <w:rPr>
                <w:b/>
              </w:rPr>
            </w:pPr>
            <w:r>
              <w:rPr>
                <w:b/>
              </w:rPr>
              <w:t>$</w:t>
            </w:r>
          </w:p>
        </w:tc>
        <w:tc>
          <w:tcPr>
            <w:tcW w:w="780" w:type="dxa"/>
            <w:tcBorders/>
            <w:shd w:fill="CCEEFF" w:val="clear"/>
          </w:tcPr>
          <w:p>
            <w:pPr>
              <w:pStyle w:val="TableContents"/>
              <w:bidi w:val="0"/>
              <w:spacing w:before="0" w:after="0"/>
              <w:ind w:left="0" w:right="0" w:hanging="0"/>
              <w:jc w:val="right"/>
              <w:rPr>
                <w:b/>
              </w:rPr>
            </w:pPr>
            <w:r>
              <w:rPr>
                <w:b/>
              </w:rPr>
              <w:t>29</w:t>
            </w:r>
          </w:p>
        </w:tc>
        <w:tc>
          <w:tcPr>
            <w:tcW w:w="367" w:type="dxa"/>
            <w:tcBorders/>
            <w:shd w:fill="CCEEFF" w:val="clear"/>
          </w:tcPr>
          <w:p>
            <w:pPr>
              <w:pStyle w:val="TableContents"/>
              <w:bidi w:val="0"/>
              <w:spacing w:before="0" w:after="0"/>
              <w:ind w:left="0" w:right="0" w:hanging="0"/>
              <w:jc w:val="left"/>
              <w:rPr/>
            </w:pPr>
            <w:r>
              <w:rPr/>
              <w:t> </w:t>
            </w:r>
          </w:p>
        </w:tc>
        <w:tc>
          <w:tcPr>
            <w:tcW w:w="178" w:type="dxa"/>
            <w:tcBorders/>
            <w:shd w:fill="CCEEFF" w:val="clear"/>
          </w:tcPr>
          <w:p>
            <w:pPr>
              <w:pStyle w:val="TableContents"/>
              <w:bidi w:val="0"/>
              <w:spacing w:before="0" w:after="0"/>
              <w:ind w:left="0" w:right="0" w:hanging="0"/>
              <w:jc w:val="left"/>
              <w:rPr/>
            </w:pPr>
            <w:r>
              <w:rPr/>
              <w:t> </w:t>
            </w:r>
          </w:p>
        </w:tc>
        <w:tc>
          <w:tcPr>
            <w:tcW w:w="339" w:type="dxa"/>
            <w:tcBorders/>
            <w:shd w:fill="CCEEFF" w:val="clear"/>
          </w:tcPr>
          <w:p>
            <w:pPr>
              <w:pStyle w:val="TableContents"/>
              <w:bidi w:val="0"/>
              <w:spacing w:before="0" w:after="0"/>
              <w:ind w:left="0" w:right="0" w:hanging="0"/>
              <w:jc w:val="left"/>
              <w:rPr/>
            </w:pPr>
            <w:r>
              <w:rPr/>
              <w:t>$</w:t>
            </w:r>
          </w:p>
        </w:tc>
        <w:tc>
          <w:tcPr>
            <w:tcW w:w="818" w:type="dxa"/>
            <w:tcBorders/>
            <w:shd w:fill="CCEEFF" w:val="clear"/>
          </w:tcPr>
          <w:p>
            <w:pPr>
              <w:pStyle w:val="TableContents"/>
              <w:bidi w:val="0"/>
              <w:spacing w:before="0" w:after="0"/>
              <w:ind w:left="0" w:right="0" w:hanging="0"/>
              <w:jc w:val="right"/>
              <w:rPr/>
            </w:pPr>
            <w:r>
              <w:rPr/>
              <w:t>305</w:t>
            </w:r>
          </w:p>
        </w:tc>
        <w:tc>
          <w:tcPr>
            <w:tcW w:w="185" w:type="dxa"/>
            <w:tcBorders/>
            <w:shd w:fill="CCEEFF" w:val="clear"/>
          </w:tcPr>
          <w:p>
            <w:pPr>
              <w:pStyle w:val="TableContents"/>
              <w:bidi w:val="0"/>
              <w:spacing w:before="0" w:after="0"/>
              <w:jc w:val="left"/>
              <w:rPr/>
            </w:pPr>
            <w:r>
              <w:rPr/>
              <w:t> </w:t>
            </w:r>
          </w:p>
        </w:tc>
        <w:tc>
          <w:tcPr>
            <w:tcW w:w="2683" w:type="dxa"/>
            <w:tcBorders/>
            <w:shd w:fill="CCEEFF" w:val="clear"/>
          </w:tcPr>
          <w:p>
            <w:pPr>
              <w:pStyle w:val="TableContents"/>
              <w:bidi w:val="0"/>
              <w:spacing w:before="0" w:after="0"/>
              <w:ind w:left="0" w:right="0" w:hanging="0"/>
              <w:jc w:val="left"/>
              <w:rPr/>
            </w:pPr>
            <w:r>
              <w:rPr/>
              <w:t>Other noninterest expense</w:t>
            </w:r>
          </w:p>
        </w:tc>
      </w:tr>
      <w:tr>
        <w:trPr/>
        <w:tc>
          <w:tcPr>
            <w:tcW w:w="4399" w:type="dxa"/>
            <w:tcBorders>
              <w:bottom w:val="single" w:sz="12" w:space="0" w:color="000000"/>
            </w:tcBorders>
            <w:tcMar>
              <w:bottom w:w="28" w:type="dxa"/>
            </w:tcMar>
          </w:tcPr>
          <w:p>
            <w:pPr>
              <w:pStyle w:val="TableContents"/>
              <w:bidi w:val="0"/>
              <w:spacing w:before="0" w:after="0"/>
              <w:ind w:left="0" w:right="0" w:hanging="0"/>
              <w:jc w:val="left"/>
              <w:rPr/>
            </w:pPr>
            <w:r>
              <w:rPr/>
              <w:t>Amortization of prior service costs</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66"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780" w:type="dxa"/>
            <w:tcBorders>
              <w:bottom w:val="single" w:sz="12" w:space="0" w:color="000000"/>
            </w:tcBorders>
            <w:tcMar>
              <w:bottom w:w="28" w:type="dxa"/>
            </w:tcMar>
          </w:tcPr>
          <w:p>
            <w:pPr>
              <w:pStyle w:val="TableContents"/>
              <w:bidi w:val="0"/>
              <w:spacing w:before="0" w:after="0"/>
              <w:ind w:left="0" w:right="0" w:hanging="0"/>
              <w:jc w:val="right"/>
              <w:rPr>
                <w:b/>
              </w:rPr>
            </w:pPr>
            <w:r>
              <w:rPr>
                <w:b/>
              </w:rPr>
              <w:t>3</w:t>
            </w:r>
          </w:p>
        </w:tc>
        <w:tc>
          <w:tcPr>
            <w:tcW w:w="367"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78"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39" w:type="dxa"/>
            <w:tcBorders>
              <w:bottom w:val="single" w:sz="12" w:space="0" w:color="000000"/>
            </w:tcBorders>
            <w:tcMar>
              <w:bottom w:w="28" w:type="dxa"/>
            </w:tcMar>
          </w:tcPr>
          <w:p>
            <w:pPr>
              <w:pStyle w:val="TableContents"/>
              <w:bidi w:val="0"/>
              <w:spacing w:before="0" w:after="283"/>
              <w:ind w:left="0" w:right="0" w:hanging="0"/>
              <w:jc w:val="left"/>
              <w:rPr>
                <w:sz w:val="4"/>
                <w:szCs w:val="4"/>
              </w:rPr>
            </w:pPr>
            <w:r>
              <w:rPr>
                <w:sz w:val="4"/>
                <w:szCs w:val="4"/>
              </w:rPr>
            </w:r>
          </w:p>
        </w:tc>
        <w:tc>
          <w:tcPr>
            <w:tcW w:w="818" w:type="dxa"/>
            <w:tcBorders>
              <w:bottom w:val="single" w:sz="12" w:space="0" w:color="000000"/>
            </w:tcBorders>
            <w:tcMar>
              <w:bottom w:w="28" w:type="dxa"/>
            </w:tcMar>
          </w:tcPr>
          <w:p>
            <w:pPr>
              <w:pStyle w:val="TableContents"/>
              <w:bidi w:val="0"/>
              <w:spacing w:before="0" w:after="0"/>
              <w:ind w:left="0" w:right="0" w:hanging="0"/>
              <w:jc w:val="right"/>
              <w:rPr/>
            </w:pPr>
            <w:r>
              <w:rPr/>
              <w:t>2</w:t>
            </w:r>
          </w:p>
        </w:tc>
        <w:tc>
          <w:tcPr>
            <w:tcW w:w="185" w:type="dxa"/>
            <w:tcBorders>
              <w:bottom w:val="single" w:sz="12" w:space="0" w:color="000000"/>
            </w:tcBorders>
            <w:tcMar>
              <w:bottom w:w="28" w:type="dxa"/>
            </w:tcMar>
          </w:tcPr>
          <w:p>
            <w:pPr>
              <w:pStyle w:val="TableContents"/>
              <w:bidi w:val="0"/>
              <w:spacing w:before="0" w:after="283"/>
              <w:jc w:val="left"/>
              <w:rPr>
                <w:sz w:val="4"/>
                <w:szCs w:val="4"/>
              </w:rPr>
            </w:pPr>
            <w:r>
              <w:rPr>
                <w:sz w:val="4"/>
                <w:szCs w:val="4"/>
              </w:rPr>
            </w:r>
          </w:p>
        </w:tc>
        <w:tc>
          <w:tcPr>
            <w:tcW w:w="2683" w:type="dxa"/>
            <w:tcBorders>
              <w:bottom w:val="single" w:sz="12" w:space="0" w:color="000000"/>
            </w:tcBorders>
            <w:tcMar>
              <w:bottom w:w="28" w:type="dxa"/>
            </w:tcMar>
          </w:tcPr>
          <w:p>
            <w:pPr>
              <w:pStyle w:val="TableContents"/>
              <w:bidi w:val="0"/>
              <w:spacing w:before="0" w:after="0"/>
              <w:ind w:left="0" w:right="0" w:hanging="0"/>
              <w:jc w:val="left"/>
              <w:rPr/>
            </w:pPr>
            <w:r>
              <w:rPr/>
              <w:t>Other noninterest expense</w:t>
            </w:r>
          </w:p>
        </w:tc>
      </w:tr>
      <w:tr>
        <w:trPr/>
        <w:tc>
          <w:tcPr>
            <w:tcW w:w="439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Tax effect</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66"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780"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(8</w:t>
            </w:r>
          </w:p>
        </w:tc>
        <w:tc>
          <w:tcPr>
            <w:tcW w:w="367"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 </w:t>
            </w:r>
          </w:p>
        </w:tc>
        <w:tc>
          <w:tcPr>
            <w:tcW w:w="17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39"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18"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(77</w:t>
            </w:r>
          </w:p>
        </w:tc>
        <w:tc>
          <w:tcPr>
            <w:tcW w:w="185" w:type="dxa"/>
            <w:tcBorders>
              <w:bottom w:val="single" w:sz="12" w:space="0" w:color="000000"/>
            </w:tcBorders>
            <w:shd w:fill="CCEEFF" w:val="clear"/>
            <w:tcMar>
              <w:bottom w:w="28" w:type="dxa"/>
            </w:tcMar>
          </w:tcPr>
          <w:p>
            <w:pPr>
              <w:pStyle w:val="TableContents"/>
              <w:bidi w:val="0"/>
              <w:spacing w:before="0" w:after="0"/>
              <w:jc w:val="left"/>
              <w:rPr/>
            </w:pPr>
            <w:r>
              <w:rPr/>
              <w:t>) </w:t>
            </w:r>
          </w:p>
        </w:tc>
        <w:tc>
          <w:tcPr>
            <w:tcW w:w="268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Income tax (benefit)</w:t>
            </w:r>
          </w:p>
        </w:tc>
      </w:tr>
      <w:tr>
        <w:trPr/>
        <w:tc>
          <w:tcPr>
            <w:tcW w:w="4399" w:type="dxa"/>
            <w:tcBorders>
              <w:bottom w:val="single" w:sz="12" w:space="0" w:color="000000"/>
            </w:tcBorders>
            <w:tcMar>
              <w:bottom w:w="28" w:type="dxa"/>
            </w:tcMar>
          </w:tcPr>
          <w:p>
            <w:pPr>
              <w:pStyle w:val="TableContents"/>
              <w:bidi w:val="0"/>
              <w:spacing w:before="0" w:after="0"/>
              <w:ind w:left="0" w:right="0" w:hanging="0"/>
              <w:jc w:val="left"/>
              <w:rPr/>
            </w:pPr>
            <w:r>
              <w:rPr/>
              <w:t>Net of tax</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66"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780" w:type="dxa"/>
            <w:tcBorders>
              <w:bottom w:val="single" w:sz="12" w:space="0" w:color="000000"/>
            </w:tcBorders>
            <w:tcMar>
              <w:bottom w:w="28" w:type="dxa"/>
            </w:tcMar>
          </w:tcPr>
          <w:p>
            <w:pPr>
              <w:pStyle w:val="TableContents"/>
              <w:bidi w:val="0"/>
              <w:spacing w:before="0" w:after="0"/>
              <w:ind w:left="0" w:right="0" w:hanging="0"/>
              <w:jc w:val="right"/>
              <w:rPr>
                <w:b/>
              </w:rPr>
            </w:pPr>
            <w:r>
              <w:rPr>
                <w:b/>
              </w:rPr>
              <w:t>24</w:t>
            </w:r>
          </w:p>
        </w:tc>
        <w:tc>
          <w:tcPr>
            <w:tcW w:w="367"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78"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39"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818" w:type="dxa"/>
            <w:tcBorders>
              <w:bottom w:val="single" w:sz="12" w:space="0" w:color="000000"/>
            </w:tcBorders>
            <w:tcMar>
              <w:bottom w:w="28" w:type="dxa"/>
            </w:tcMar>
          </w:tcPr>
          <w:p>
            <w:pPr>
              <w:pStyle w:val="TableContents"/>
              <w:bidi w:val="0"/>
              <w:spacing w:before="0" w:after="0"/>
              <w:ind w:left="0" w:right="0" w:hanging="0"/>
              <w:jc w:val="right"/>
              <w:rPr/>
            </w:pPr>
            <w:r>
              <w:rPr/>
              <w:t>230</w:t>
            </w:r>
          </w:p>
        </w:tc>
        <w:tc>
          <w:tcPr>
            <w:tcW w:w="185" w:type="dxa"/>
            <w:tcBorders>
              <w:bottom w:val="single" w:sz="12" w:space="0" w:color="000000"/>
            </w:tcBorders>
            <w:tcMar>
              <w:bottom w:w="28" w:type="dxa"/>
            </w:tcMar>
          </w:tcPr>
          <w:p>
            <w:pPr>
              <w:pStyle w:val="TableContents"/>
              <w:bidi w:val="0"/>
              <w:spacing w:before="0" w:after="0"/>
              <w:jc w:val="left"/>
              <w:rPr/>
            </w:pPr>
            <w:r>
              <w:rPr/>
              <w:t> </w:t>
            </w:r>
          </w:p>
        </w:tc>
        <w:tc>
          <w:tcPr>
            <w:tcW w:w="2683" w:type="dxa"/>
            <w:tcBorders>
              <w:bottom w:val="single" w:sz="12" w:space="0" w:color="000000"/>
            </w:tcBorders>
            <w:tcMar>
              <w:bottom w:w="28" w:type="dxa"/>
            </w:tcMar>
          </w:tcPr>
          <w:p>
            <w:pPr>
              <w:pStyle w:val="TableContents"/>
              <w:bidi w:val="0"/>
              <w:spacing w:before="0" w:after="283"/>
              <w:jc w:val="left"/>
              <w:rPr/>
            </w:pPr>
            <w:r>
              <w:rPr/>
              <w:t> </w:t>
            </w:r>
          </w:p>
        </w:tc>
      </w:tr>
      <w:tr>
        <w:trPr/>
        <w:tc>
          <w:tcPr>
            <w:tcW w:w="4399"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Total reclassifications, net of tax</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366"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780" w:type="dxa"/>
            <w:tcBorders>
              <w:bottom w:val="double" w:sz="8" w:space="0" w:color="000000"/>
            </w:tcBorders>
            <w:shd w:fill="CCEEFF" w:val="clear"/>
            <w:tcMar>
              <w:bottom w:w="28" w:type="dxa"/>
            </w:tcMar>
          </w:tcPr>
          <w:p>
            <w:pPr>
              <w:pStyle w:val="TableContents"/>
              <w:bidi w:val="0"/>
              <w:spacing w:before="0" w:after="0"/>
              <w:ind w:left="0" w:right="0" w:hanging="0"/>
              <w:jc w:val="right"/>
              <w:rPr>
                <w:b/>
              </w:rPr>
            </w:pPr>
            <w:r>
              <w:rPr>
                <w:b/>
              </w:rPr>
              <w:t>66</w:t>
            </w:r>
          </w:p>
        </w:tc>
        <w:tc>
          <w:tcPr>
            <w:tcW w:w="367"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178"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339"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818"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283</w:t>
            </w:r>
          </w:p>
        </w:tc>
        <w:tc>
          <w:tcPr>
            <w:tcW w:w="185" w:type="dxa"/>
            <w:tcBorders>
              <w:bottom w:val="double" w:sz="8" w:space="0" w:color="000000"/>
            </w:tcBorders>
            <w:shd w:fill="CCEEFF" w:val="clear"/>
            <w:tcMar>
              <w:bottom w:w="28" w:type="dxa"/>
            </w:tcMar>
          </w:tcPr>
          <w:p>
            <w:pPr>
              <w:pStyle w:val="TableContents"/>
              <w:bidi w:val="0"/>
              <w:spacing w:before="0" w:after="0"/>
              <w:jc w:val="left"/>
              <w:rPr/>
            </w:pPr>
            <w:r>
              <w:rPr/>
              <w:t> </w:t>
            </w:r>
          </w:p>
        </w:tc>
        <w:tc>
          <w:tcPr>
            <w:tcW w:w="2683" w:type="dxa"/>
            <w:tcBorders>
              <w:bottom w:val="double" w:sz="8"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18"/>
        <w:gridCol w:w="141"/>
        <w:gridCol w:w="333"/>
        <w:gridCol w:w="807"/>
        <w:gridCol w:w="292"/>
        <w:gridCol w:w="141"/>
        <w:gridCol w:w="302"/>
        <w:gridCol w:w="864"/>
        <w:gridCol w:w="292"/>
        <w:gridCol w:w="2715"/>
      </w:tblGrid>
      <w:tr>
        <w:trPr/>
        <w:tc>
          <w:tcPr>
            <w:tcW w:w="431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2715" w:type="dxa"/>
            <w:tcBorders/>
            <w:vAlign w:val="center"/>
          </w:tcPr>
          <w:p>
            <w:pPr>
              <w:pStyle w:val="TableContents"/>
              <w:bidi w:val="0"/>
              <w:spacing w:before="0" w:after="283"/>
              <w:jc w:val="left"/>
              <w:rPr/>
            </w:pPr>
            <w:r>
              <w:rPr/>
              <w:t> </w:t>
            </w:r>
          </w:p>
        </w:tc>
      </w:tr>
      <w:tr>
        <w:trPr/>
        <w:tc>
          <w:tcPr>
            <w:tcW w:w="4318" w:type="dxa"/>
            <w:tcBorders>
              <w:bottom w:val="single" w:sz="12" w:space="0" w:color="000000"/>
            </w:tcBorders>
            <w:tcMar>
              <w:bottom w:w="28" w:type="dxa"/>
            </w:tcMar>
          </w:tcPr>
          <w:p>
            <w:pPr>
              <w:pStyle w:val="TableContents"/>
              <w:bidi w:val="0"/>
              <w:spacing w:before="0" w:after="0"/>
              <w:ind w:left="0" w:right="0" w:hanging="0"/>
              <w:jc w:val="left"/>
              <w:rPr>
                <w:b/>
              </w:rPr>
            </w:pPr>
            <w:r>
              <w:rPr>
                <w:b/>
              </w:rPr>
              <w:t>Detail About AOCI Components</w:t>
            </w:r>
          </w:p>
        </w:tc>
        <w:tc>
          <w:tcPr>
            <w:tcW w:w="3172" w:type="dxa"/>
            <w:gridSpan w:val="8"/>
            <w:tcBorders>
              <w:bottom w:val="single" w:sz="12" w:space="0" w:color="000000"/>
            </w:tcBorders>
            <w:tcMar>
              <w:bottom w:w="28" w:type="dxa"/>
            </w:tcMar>
          </w:tcPr>
          <w:p>
            <w:pPr>
              <w:pStyle w:val="TableContents"/>
              <w:bidi w:val="0"/>
              <w:spacing w:before="0" w:after="0"/>
              <w:ind w:left="0" w:right="0" w:hanging="0"/>
              <w:jc w:val="center"/>
              <w:rPr>
                <w:b/>
              </w:rPr>
            </w:pPr>
            <w:r>
              <w:rPr>
                <w:b/>
              </w:rPr>
              <w:t>Amount Reclassified from AOCI</w:t>
            </w:r>
          </w:p>
        </w:tc>
        <w:tc>
          <w:tcPr>
            <w:tcW w:w="2715" w:type="dxa"/>
            <w:tcBorders>
              <w:bottom w:val="single" w:sz="12" w:space="0" w:color="000000"/>
            </w:tcBorders>
            <w:tcMar>
              <w:bottom w:w="28" w:type="dxa"/>
            </w:tcMar>
          </w:tcPr>
          <w:p>
            <w:pPr>
              <w:pStyle w:val="TableContents"/>
              <w:bidi w:val="0"/>
              <w:spacing w:before="0" w:after="0"/>
              <w:ind w:left="0" w:right="0" w:hanging="0"/>
              <w:jc w:val="center"/>
              <w:rPr>
                <w:b/>
                <w:spacing w:val="0"/>
              </w:rPr>
            </w:pPr>
            <w:r>
              <w:rPr>
                <w:b/>
                <w:spacing w:val="0"/>
              </w:rPr>
              <w:t>Affected line item in the</w:t>
            </w:r>
          </w:p>
          <w:p>
            <w:pPr>
              <w:pStyle w:val="TableContents"/>
              <w:bidi w:val="0"/>
              <w:spacing w:before="0" w:after="0"/>
              <w:ind w:left="0" w:right="0" w:hanging="0"/>
              <w:jc w:val="center"/>
              <w:rPr>
                <w:b/>
                <w:spacing w:val="0"/>
              </w:rPr>
            </w:pPr>
            <w:r>
              <w:rPr>
                <w:b/>
                <w:spacing w:val="0"/>
              </w:rPr>
              <w:t>Consolidated Statement of</w:t>
            </w:r>
          </w:p>
          <w:p>
            <w:pPr>
              <w:pStyle w:val="TableContents"/>
              <w:bidi w:val="0"/>
              <w:spacing w:before="0" w:after="0"/>
              <w:jc w:val="center"/>
              <w:rPr/>
            </w:pPr>
            <w:r>
              <w:rPr/>
              <w:t> </w:t>
            </w:r>
            <w:r>
              <w:rPr>
                <w:b/>
                <w:spacing w:val="0"/>
              </w:rPr>
              <w:t>Comprehensive Income (Loss)</w:t>
            </w:r>
          </w:p>
        </w:tc>
      </w:tr>
      <w:tr>
        <w:trPr/>
        <w:tc>
          <w:tcPr>
            <w:tcW w:w="4318" w:type="dxa"/>
            <w:tcBorders/>
          </w:tcPr>
          <w:p>
            <w:pPr>
              <w:pStyle w:val="TableContents"/>
              <w:bidi w:val="0"/>
              <w:spacing w:before="0" w:after="283"/>
              <w:jc w:val="left"/>
              <w:rPr/>
            </w:pPr>
            <w:r>
              <w:rPr/>
              <w:t> </w:t>
            </w:r>
          </w:p>
        </w:tc>
        <w:tc>
          <w:tcPr>
            <w:tcW w:w="3172" w:type="dxa"/>
            <w:gridSpan w:val="8"/>
            <w:tcBorders/>
          </w:tcPr>
          <w:p>
            <w:pPr>
              <w:pStyle w:val="TableContents"/>
              <w:bidi w:val="0"/>
              <w:spacing w:before="0" w:after="0"/>
              <w:ind w:left="0" w:right="0" w:hanging="0"/>
              <w:jc w:val="center"/>
              <w:rPr>
                <w:b/>
              </w:rPr>
            </w:pPr>
            <w:r>
              <w:rPr>
                <w:b/>
              </w:rPr>
              <w:t>Six Months Ended</w:t>
            </w:r>
          </w:p>
        </w:tc>
        <w:tc>
          <w:tcPr>
            <w:tcW w:w="2715" w:type="dxa"/>
            <w:tcBorders/>
          </w:tcPr>
          <w:p>
            <w:pPr>
              <w:pStyle w:val="TableContents"/>
              <w:bidi w:val="0"/>
              <w:spacing w:before="0" w:after="283"/>
              <w:jc w:val="left"/>
              <w:rPr/>
            </w:pPr>
            <w:r>
              <w:rPr/>
              <w:t> </w:t>
            </w:r>
          </w:p>
        </w:tc>
      </w:tr>
      <w:tr>
        <w:trPr/>
        <w:tc>
          <w:tcPr>
            <w:tcW w:w="4318" w:type="dxa"/>
            <w:tcBorders>
              <w:bottom w:val="single" w:sz="12" w:space="0" w:color="000000"/>
            </w:tcBorders>
            <w:tcMar>
              <w:bottom w:w="28" w:type="dxa"/>
            </w:tcMar>
          </w:tcPr>
          <w:p>
            <w:pPr>
              <w:pStyle w:val="TableContents"/>
              <w:bidi w:val="0"/>
              <w:spacing w:before="0" w:after="0"/>
              <w:ind w:left="0" w:right="0" w:hanging="0"/>
              <w:jc w:val="left"/>
              <w:rPr>
                <w:i/>
              </w:rPr>
            </w:pPr>
            <w:r>
              <w:rPr>
                <w:i/>
              </w:rPr>
              <w:t>(In thousands)</w:t>
            </w:r>
          </w:p>
        </w:tc>
        <w:tc>
          <w:tcPr>
            <w:tcW w:w="141" w:type="dxa"/>
            <w:tcBorders>
              <w:bottom w:val="single" w:sz="12" w:space="0" w:color="000000"/>
            </w:tcBorders>
            <w:tcMar>
              <w:bottom w:w="28" w:type="dxa"/>
            </w:tcMar>
          </w:tcPr>
          <w:p>
            <w:pPr>
              <w:pStyle w:val="TableContents"/>
              <w:bidi w:val="0"/>
              <w:spacing w:before="0" w:after="283"/>
              <w:jc w:val="left"/>
              <w:rPr/>
            </w:pPr>
            <w:r>
              <w:rPr/>
              <w:t> </w:t>
            </w:r>
          </w:p>
        </w:tc>
        <w:tc>
          <w:tcPr>
            <w:tcW w:w="1140"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June 30, 2026</w:t>
            </w:r>
          </w:p>
        </w:tc>
        <w:tc>
          <w:tcPr>
            <w:tcW w:w="292" w:type="dxa"/>
            <w:tcBorders>
              <w:bottom w:val="single" w:sz="12" w:space="0" w:color="000000"/>
            </w:tcBorders>
            <w:tcMar>
              <w:bottom w:w="28" w:type="dxa"/>
            </w:tcMar>
          </w:tcPr>
          <w:p>
            <w:pPr>
              <w:pStyle w:val="TableContents"/>
              <w:bidi w:val="0"/>
              <w:spacing w:before="0" w:after="283"/>
              <w:jc w:val="left"/>
              <w:rPr/>
            </w:pPr>
            <w:r>
              <w:rPr/>
              <w:t> </w:t>
            </w:r>
          </w:p>
        </w:tc>
        <w:tc>
          <w:tcPr>
            <w:tcW w:w="141" w:type="dxa"/>
            <w:tcBorders>
              <w:bottom w:val="single" w:sz="12" w:space="0" w:color="000000"/>
            </w:tcBorders>
            <w:tcMar>
              <w:bottom w:w="28" w:type="dxa"/>
            </w:tcMar>
          </w:tcPr>
          <w:p>
            <w:pPr>
              <w:pStyle w:val="TableContents"/>
              <w:bidi w:val="0"/>
              <w:spacing w:before="0" w:after="283"/>
              <w:jc w:val="left"/>
              <w:rPr/>
            </w:pPr>
            <w:r>
              <w:rPr/>
              <w:t> </w:t>
            </w:r>
          </w:p>
        </w:tc>
        <w:tc>
          <w:tcPr>
            <w:tcW w:w="1166" w:type="dxa"/>
            <w:gridSpan w:val="2"/>
            <w:tcBorders>
              <w:bottom w:val="single" w:sz="12" w:space="0" w:color="000000"/>
            </w:tcBorders>
            <w:tcMar>
              <w:bottom w:w="28" w:type="dxa"/>
            </w:tcMar>
          </w:tcPr>
          <w:p>
            <w:pPr>
              <w:pStyle w:val="TableContents"/>
              <w:bidi w:val="0"/>
              <w:spacing w:before="0" w:after="0"/>
              <w:ind w:left="0" w:right="0" w:hanging="0"/>
              <w:jc w:val="center"/>
              <w:rPr>
                <w:b/>
              </w:rPr>
            </w:pPr>
            <w:r>
              <w:rPr>
                <w:b/>
              </w:rPr>
              <w:t>June 30, 2025</w:t>
            </w:r>
          </w:p>
        </w:tc>
        <w:tc>
          <w:tcPr>
            <w:tcW w:w="292" w:type="dxa"/>
            <w:tcBorders>
              <w:bottom w:val="single" w:sz="12" w:space="0" w:color="000000"/>
            </w:tcBorders>
            <w:tcMar>
              <w:bottom w:w="28" w:type="dxa"/>
            </w:tcMar>
          </w:tcPr>
          <w:p>
            <w:pPr>
              <w:pStyle w:val="TableContents"/>
              <w:bidi w:val="0"/>
              <w:spacing w:before="0" w:after="283"/>
              <w:jc w:val="left"/>
              <w:rPr/>
            </w:pPr>
            <w:r>
              <w:rPr/>
              <w:t> </w:t>
            </w:r>
          </w:p>
        </w:tc>
        <w:tc>
          <w:tcPr>
            <w:tcW w:w="2715" w:type="dxa"/>
            <w:tcBorders>
              <w:bottom w:val="single" w:sz="12" w:space="0" w:color="000000"/>
            </w:tcBorders>
            <w:tcMar>
              <w:bottom w:w="28" w:type="dxa"/>
            </w:tcMar>
          </w:tcPr>
          <w:p>
            <w:pPr>
              <w:pStyle w:val="TableContents"/>
              <w:bidi w:val="0"/>
              <w:spacing w:before="0" w:after="283"/>
              <w:jc w:val="left"/>
              <w:rPr/>
            </w:pPr>
            <w:r>
              <w:rPr/>
              <w:t> </w:t>
            </w:r>
          </w:p>
        </w:tc>
      </w:tr>
      <w:tr>
        <w:trPr/>
        <w:tc>
          <w:tcPr>
            <w:tcW w:w="4318" w:type="dxa"/>
            <w:tcBorders/>
          </w:tcPr>
          <w:p>
            <w:pPr>
              <w:pStyle w:val="TableContents"/>
              <w:bidi w:val="0"/>
              <w:spacing w:before="0" w:after="0"/>
              <w:ind w:left="0" w:right="0" w:hanging="0"/>
              <w:jc w:val="left"/>
              <w:rPr/>
            </w:pPr>
            <w:r>
              <w:rPr/>
              <w:t>AFS securities:</w:t>
            </w:r>
          </w:p>
        </w:tc>
        <w:tc>
          <w:tcPr>
            <w:tcW w:w="141" w:type="dxa"/>
            <w:tcBorders/>
          </w:tcPr>
          <w:p>
            <w:pPr>
              <w:pStyle w:val="TableContents"/>
              <w:bidi w:val="0"/>
              <w:spacing w:before="0" w:after="283"/>
              <w:jc w:val="left"/>
              <w:rPr/>
            </w:pPr>
            <w:r>
              <w:rPr/>
              <w:t> </w:t>
            </w:r>
          </w:p>
        </w:tc>
        <w:tc>
          <w:tcPr>
            <w:tcW w:w="333" w:type="dxa"/>
            <w:tcBorders/>
          </w:tcPr>
          <w:p>
            <w:pPr>
              <w:pStyle w:val="TableContents"/>
              <w:bidi w:val="0"/>
              <w:spacing w:before="0" w:after="283"/>
              <w:jc w:val="left"/>
              <w:rPr/>
            </w:pPr>
            <w:r>
              <w:rPr/>
              <w:t> </w:t>
            </w:r>
          </w:p>
        </w:tc>
        <w:tc>
          <w:tcPr>
            <w:tcW w:w="807" w:type="dxa"/>
            <w:tcBorders/>
          </w:tcPr>
          <w:p>
            <w:pPr>
              <w:pStyle w:val="TableContents"/>
              <w:bidi w:val="0"/>
              <w:spacing w:before="0" w:after="283"/>
              <w:jc w:val="left"/>
              <w:rPr/>
            </w:pPr>
            <w:r>
              <w:rPr/>
              <w:t> </w:t>
            </w:r>
          </w:p>
        </w:tc>
        <w:tc>
          <w:tcPr>
            <w:tcW w:w="292" w:type="dxa"/>
            <w:tcBorders/>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302" w:type="dxa"/>
            <w:tcBorders/>
          </w:tcPr>
          <w:p>
            <w:pPr>
              <w:pStyle w:val="TableContents"/>
              <w:bidi w:val="0"/>
              <w:spacing w:before="0" w:after="283"/>
              <w:jc w:val="left"/>
              <w:rPr/>
            </w:pPr>
            <w:r>
              <w:rPr/>
              <w:t> </w:t>
            </w:r>
          </w:p>
        </w:tc>
        <w:tc>
          <w:tcPr>
            <w:tcW w:w="864" w:type="dxa"/>
            <w:tcBorders/>
          </w:tcPr>
          <w:p>
            <w:pPr>
              <w:pStyle w:val="TableContents"/>
              <w:bidi w:val="0"/>
              <w:spacing w:before="0" w:after="283"/>
              <w:jc w:val="left"/>
              <w:rPr/>
            </w:pPr>
            <w:r>
              <w:rPr/>
              <w:t> </w:t>
            </w:r>
          </w:p>
        </w:tc>
        <w:tc>
          <w:tcPr>
            <w:tcW w:w="292" w:type="dxa"/>
            <w:tcBorders/>
          </w:tcPr>
          <w:p>
            <w:pPr>
              <w:pStyle w:val="TableContents"/>
              <w:bidi w:val="0"/>
              <w:spacing w:before="0" w:after="283"/>
              <w:jc w:val="left"/>
              <w:rPr/>
            </w:pPr>
            <w:r>
              <w:rPr/>
              <w:t> </w:t>
            </w:r>
          </w:p>
        </w:tc>
        <w:tc>
          <w:tcPr>
            <w:tcW w:w="2715" w:type="dxa"/>
            <w:tcBorders/>
          </w:tcPr>
          <w:p>
            <w:pPr>
              <w:pStyle w:val="TableContents"/>
              <w:bidi w:val="0"/>
              <w:spacing w:before="0" w:after="283"/>
              <w:jc w:val="left"/>
              <w:rPr/>
            </w:pPr>
            <w:r>
              <w:rPr/>
              <w:t> </w:t>
            </w:r>
          </w:p>
        </w:tc>
      </w:tr>
      <w:tr>
        <w:trPr/>
        <w:tc>
          <w:tcPr>
            <w:tcW w:w="431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Amortization of unrealized gains related to securities transfer</w:t>
            </w:r>
          </w:p>
        </w:tc>
        <w:tc>
          <w:tcPr>
            <w:tcW w:w="14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33"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07"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113</w:t>
            </w:r>
          </w:p>
        </w:tc>
        <w:tc>
          <w:tcPr>
            <w:tcW w:w="292"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02"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64"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145</w:t>
            </w:r>
          </w:p>
        </w:tc>
        <w:tc>
          <w:tcPr>
            <w:tcW w:w="292" w:type="dxa"/>
            <w:tcBorders>
              <w:bottom w:val="single" w:sz="12" w:space="0" w:color="000000"/>
            </w:tcBorders>
            <w:shd w:fill="CCEEFF" w:val="clear"/>
            <w:tcMar>
              <w:bottom w:w="28" w:type="dxa"/>
            </w:tcMar>
          </w:tcPr>
          <w:p>
            <w:pPr>
              <w:pStyle w:val="TableContents"/>
              <w:bidi w:val="0"/>
              <w:spacing w:before="0" w:after="0"/>
              <w:jc w:val="left"/>
              <w:rPr/>
            </w:pPr>
            <w:r>
              <w:rPr/>
              <w:t> </w:t>
            </w:r>
          </w:p>
        </w:tc>
        <w:tc>
          <w:tcPr>
            <w:tcW w:w="271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Interest income</w:t>
            </w:r>
          </w:p>
        </w:tc>
      </w:tr>
      <w:tr>
        <w:trPr/>
        <w:tc>
          <w:tcPr>
            <w:tcW w:w="4318" w:type="dxa"/>
            <w:tcBorders>
              <w:bottom w:val="single" w:sz="12" w:space="0" w:color="000000"/>
            </w:tcBorders>
            <w:tcMar>
              <w:bottom w:w="28" w:type="dxa"/>
            </w:tcMar>
          </w:tcPr>
          <w:p>
            <w:pPr>
              <w:pStyle w:val="TableContents"/>
              <w:bidi w:val="0"/>
              <w:spacing w:before="0" w:after="283"/>
              <w:ind w:left="0" w:right="0" w:hanging="0"/>
              <w:jc w:val="left"/>
              <w:rPr>
                <w:spacing w:val="0"/>
              </w:rPr>
            </w:pPr>
            <w:r>
              <w:rPr>
                <w:spacing w:val="0"/>
              </w:rPr>
              <w:t>Tax effect</w:t>
            </w:r>
          </w:p>
        </w:tc>
        <w:tc>
          <w:tcPr>
            <w:tcW w:w="14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33"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807" w:type="dxa"/>
            <w:tcBorders>
              <w:bottom w:val="single" w:sz="12" w:space="0" w:color="000000"/>
            </w:tcBorders>
            <w:tcMar>
              <w:bottom w:w="28" w:type="dxa"/>
            </w:tcMar>
          </w:tcPr>
          <w:p>
            <w:pPr>
              <w:pStyle w:val="TableContents"/>
              <w:bidi w:val="0"/>
              <w:spacing w:before="0" w:after="0"/>
              <w:ind w:left="0" w:right="0" w:hanging="0"/>
              <w:jc w:val="right"/>
              <w:rPr>
                <w:b/>
              </w:rPr>
            </w:pPr>
            <w:r>
              <w:rPr>
                <w:b/>
              </w:rPr>
              <w:t>(28</w:t>
            </w:r>
          </w:p>
        </w:tc>
        <w:tc>
          <w:tcPr>
            <w:tcW w:w="292" w:type="dxa"/>
            <w:tcBorders>
              <w:bottom w:val="single" w:sz="12" w:space="0" w:color="000000"/>
            </w:tcBorders>
            <w:tcMar>
              <w:bottom w:w="28" w:type="dxa"/>
            </w:tcMar>
          </w:tcPr>
          <w:p>
            <w:pPr>
              <w:pStyle w:val="TableContents"/>
              <w:bidi w:val="0"/>
              <w:spacing w:before="0" w:after="0"/>
              <w:ind w:left="0" w:right="0" w:hanging="0"/>
              <w:jc w:val="left"/>
              <w:rPr>
                <w:b/>
                <w:spacing w:val="0"/>
              </w:rPr>
            </w:pPr>
            <w:r>
              <w:rPr>
                <w:b/>
                <w:spacing w:val="0"/>
              </w:rPr>
              <w:t>) </w:t>
            </w:r>
          </w:p>
        </w:tc>
        <w:tc>
          <w:tcPr>
            <w:tcW w:w="14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02"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864" w:type="dxa"/>
            <w:tcBorders>
              <w:bottom w:val="single" w:sz="12" w:space="0" w:color="000000"/>
            </w:tcBorders>
            <w:tcMar>
              <w:bottom w:w="28" w:type="dxa"/>
            </w:tcMar>
          </w:tcPr>
          <w:p>
            <w:pPr>
              <w:pStyle w:val="TableContents"/>
              <w:bidi w:val="0"/>
              <w:spacing w:before="0" w:after="0"/>
              <w:ind w:left="0" w:right="0" w:hanging="0"/>
              <w:jc w:val="right"/>
              <w:rPr/>
            </w:pPr>
            <w:r>
              <w:rPr/>
              <w:t>(36</w:t>
            </w:r>
          </w:p>
        </w:tc>
        <w:tc>
          <w:tcPr>
            <w:tcW w:w="292" w:type="dxa"/>
            <w:tcBorders>
              <w:bottom w:val="single" w:sz="12" w:space="0" w:color="000000"/>
            </w:tcBorders>
            <w:tcMar>
              <w:bottom w:w="28" w:type="dxa"/>
            </w:tcMar>
          </w:tcPr>
          <w:p>
            <w:pPr>
              <w:pStyle w:val="TableContents"/>
              <w:bidi w:val="0"/>
              <w:spacing w:before="0" w:after="0"/>
              <w:jc w:val="left"/>
              <w:rPr>
                <w:spacing w:val="0"/>
              </w:rPr>
            </w:pPr>
            <w:r>
              <w:rPr>
                <w:spacing w:val="0"/>
              </w:rPr>
              <w:t>) </w:t>
            </w:r>
          </w:p>
        </w:tc>
        <w:tc>
          <w:tcPr>
            <w:tcW w:w="2715" w:type="dxa"/>
            <w:tcBorders>
              <w:bottom w:val="single" w:sz="12" w:space="0" w:color="000000"/>
            </w:tcBorders>
            <w:tcMar>
              <w:bottom w:w="28" w:type="dxa"/>
            </w:tcMar>
          </w:tcPr>
          <w:p>
            <w:pPr>
              <w:pStyle w:val="TableContents"/>
              <w:bidi w:val="0"/>
              <w:spacing w:before="0" w:after="283"/>
              <w:jc w:val="left"/>
              <w:rPr>
                <w:spacing w:val="0"/>
              </w:rPr>
            </w:pPr>
            <w:r>
              <w:rPr>
                <w:spacing w:val="0"/>
              </w:rPr>
              <w:t>Income tax (benefit)</w:t>
            </w:r>
          </w:p>
        </w:tc>
      </w:tr>
      <w:tr>
        <w:trPr/>
        <w:tc>
          <w:tcPr>
            <w:tcW w:w="431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Net of tax</w:t>
            </w:r>
          </w:p>
        </w:tc>
        <w:tc>
          <w:tcPr>
            <w:tcW w:w="14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33"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07"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85</w:t>
            </w:r>
          </w:p>
        </w:tc>
        <w:tc>
          <w:tcPr>
            <w:tcW w:w="292"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4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02"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64"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109</w:t>
            </w:r>
          </w:p>
        </w:tc>
        <w:tc>
          <w:tcPr>
            <w:tcW w:w="292" w:type="dxa"/>
            <w:tcBorders>
              <w:bottom w:val="single" w:sz="12" w:space="0" w:color="000000"/>
            </w:tcBorders>
            <w:shd w:fill="CCEEFF" w:val="clear"/>
            <w:tcMar>
              <w:bottom w:w="28" w:type="dxa"/>
            </w:tcMar>
          </w:tcPr>
          <w:p>
            <w:pPr>
              <w:pStyle w:val="TableContents"/>
              <w:bidi w:val="0"/>
              <w:spacing w:before="0" w:after="0"/>
              <w:jc w:val="left"/>
              <w:rPr/>
            </w:pPr>
            <w:r>
              <w:rPr/>
              <w:t> </w:t>
            </w:r>
          </w:p>
        </w:tc>
        <w:tc>
          <w:tcPr>
            <w:tcW w:w="2715" w:type="dxa"/>
            <w:tcBorders>
              <w:bottom w:val="single" w:sz="12" w:space="0" w:color="000000"/>
            </w:tcBorders>
            <w:shd w:fill="CCEEFF" w:val="clear"/>
            <w:tcMar>
              <w:bottom w:w="28" w:type="dxa"/>
            </w:tcMar>
          </w:tcPr>
          <w:p>
            <w:pPr>
              <w:pStyle w:val="TableContents"/>
              <w:bidi w:val="0"/>
              <w:spacing w:before="0" w:after="283"/>
              <w:jc w:val="left"/>
              <w:rPr/>
            </w:pPr>
            <w:r>
              <w:rPr/>
              <w:t> </w:t>
            </w:r>
          </w:p>
        </w:tc>
      </w:tr>
      <w:tr>
        <w:trPr/>
        <w:tc>
          <w:tcPr>
            <w:tcW w:w="4318" w:type="dxa"/>
            <w:tcBorders/>
          </w:tcPr>
          <w:p>
            <w:pPr>
              <w:pStyle w:val="TableContents"/>
              <w:bidi w:val="0"/>
              <w:spacing w:before="0" w:after="0"/>
              <w:ind w:left="0" w:right="0" w:hanging="0"/>
              <w:jc w:val="left"/>
              <w:rPr/>
            </w:pPr>
            <w:r>
              <w:rPr/>
              <w:t>Pension and other benefits:</w:t>
            </w:r>
          </w:p>
        </w:tc>
        <w:tc>
          <w:tcPr>
            <w:tcW w:w="141" w:type="dxa"/>
            <w:tcBorders/>
          </w:tcPr>
          <w:p>
            <w:pPr>
              <w:pStyle w:val="TableContents"/>
              <w:bidi w:val="0"/>
              <w:spacing w:before="0" w:after="283"/>
              <w:jc w:val="left"/>
              <w:rPr/>
            </w:pPr>
            <w:r>
              <w:rPr/>
              <w:t> </w:t>
            </w:r>
          </w:p>
        </w:tc>
        <w:tc>
          <w:tcPr>
            <w:tcW w:w="333" w:type="dxa"/>
            <w:tcBorders/>
          </w:tcPr>
          <w:p>
            <w:pPr>
              <w:pStyle w:val="TableContents"/>
              <w:bidi w:val="0"/>
              <w:spacing w:before="0" w:after="283"/>
              <w:jc w:val="left"/>
              <w:rPr/>
            </w:pPr>
            <w:r>
              <w:rPr/>
              <w:t> </w:t>
            </w:r>
          </w:p>
        </w:tc>
        <w:tc>
          <w:tcPr>
            <w:tcW w:w="807" w:type="dxa"/>
            <w:tcBorders/>
          </w:tcPr>
          <w:p>
            <w:pPr>
              <w:pStyle w:val="TableContents"/>
              <w:bidi w:val="0"/>
              <w:spacing w:before="0" w:after="283"/>
              <w:jc w:val="left"/>
              <w:rPr/>
            </w:pPr>
            <w:r>
              <w:rPr/>
              <w:t> </w:t>
            </w:r>
          </w:p>
        </w:tc>
        <w:tc>
          <w:tcPr>
            <w:tcW w:w="292" w:type="dxa"/>
            <w:tcBorders/>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302" w:type="dxa"/>
            <w:tcBorders/>
          </w:tcPr>
          <w:p>
            <w:pPr>
              <w:pStyle w:val="TableContents"/>
              <w:bidi w:val="0"/>
              <w:spacing w:before="0" w:after="283"/>
              <w:jc w:val="left"/>
              <w:rPr/>
            </w:pPr>
            <w:r>
              <w:rPr/>
              <w:t> </w:t>
            </w:r>
          </w:p>
        </w:tc>
        <w:tc>
          <w:tcPr>
            <w:tcW w:w="864" w:type="dxa"/>
            <w:tcBorders/>
          </w:tcPr>
          <w:p>
            <w:pPr>
              <w:pStyle w:val="TableContents"/>
              <w:bidi w:val="0"/>
              <w:spacing w:before="0" w:after="283"/>
              <w:jc w:val="left"/>
              <w:rPr/>
            </w:pPr>
            <w:r>
              <w:rPr/>
              <w:t> </w:t>
            </w:r>
          </w:p>
        </w:tc>
        <w:tc>
          <w:tcPr>
            <w:tcW w:w="292" w:type="dxa"/>
            <w:tcBorders/>
          </w:tcPr>
          <w:p>
            <w:pPr>
              <w:pStyle w:val="TableContents"/>
              <w:bidi w:val="0"/>
              <w:spacing w:before="0" w:after="283"/>
              <w:jc w:val="left"/>
              <w:rPr/>
            </w:pPr>
            <w:r>
              <w:rPr/>
              <w:t> </w:t>
            </w:r>
          </w:p>
        </w:tc>
        <w:tc>
          <w:tcPr>
            <w:tcW w:w="2715" w:type="dxa"/>
            <w:tcBorders/>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ind w:left="0" w:right="0" w:hanging="0"/>
              <w:jc w:val="left"/>
              <w:rPr/>
            </w:pPr>
            <w:r>
              <w:rPr/>
              <w:t>Amortization of net losses</w:t>
            </w:r>
          </w:p>
        </w:tc>
        <w:tc>
          <w:tcPr>
            <w:tcW w:w="141" w:type="dxa"/>
            <w:tcBorders/>
            <w:shd w:fill="CCEEFF" w:val="clear"/>
          </w:tcPr>
          <w:p>
            <w:pPr>
              <w:pStyle w:val="TableContents"/>
              <w:bidi w:val="0"/>
              <w:spacing w:before="0" w:after="0"/>
              <w:ind w:left="0" w:right="0" w:hanging="0"/>
              <w:jc w:val="left"/>
              <w:rPr/>
            </w:pPr>
            <w:r>
              <w:rPr/>
              <w:t> </w:t>
            </w:r>
          </w:p>
        </w:tc>
        <w:tc>
          <w:tcPr>
            <w:tcW w:w="333" w:type="dxa"/>
            <w:tcBorders/>
            <w:shd w:fill="CCEEFF" w:val="clear"/>
          </w:tcPr>
          <w:p>
            <w:pPr>
              <w:pStyle w:val="TableContents"/>
              <w:bidi w:val="0"/>
              <w:spacing w:before="0" w:after="0"/>
              <w:ind w:left="0" w:right="0" w:hanging="0"/>
              <w:jc w:val="left"/>
              <w:rPr>
                <w:b/>
              </w:rPr>
            </w:pPr>
            <w:r>
              <w:rPr>
                <w:b/>
              </w:rPr>
              <w:t>$</w:t>
            </w:r>
          </w:p>
        </w:tc>
        <w:tc>
          <w:tcPr>
            <w:tcW w:w="807" w:type="dxa"/>
            <w:tcBorders/>
            <w:shd w:fill="CCEEFF" w:val="clear"/>
          </w:tcPr>
          <w:p>
            <w:pPr>
              <w:pStyle w:val="TableContents"/>
              <w:bidi w:val="0"/>
              <w:spacing w:before="0" w:after="0"/>
              <w:ind w:left="0" w:right="0" w:hanging="0"/>
              <w:jc w:val="right"/>
              <w:rPr>
                <w:b/>
              </w:rPr>
            </w:pPr>
            <w:r>
              <w:rPr>
                <w:b/>
              </w:rPr>
              <w:t>58</w:t>
            </w:r>
          </w:p>
        </w:tc>
        <w:tc>
          <w:tcPr>
            <w:tcW w:w="292" w:type="dxa"/>
            <w:tcBorders/>
            <w:shd w:fill="CCEEFF" w:val="clear"/>
          </w:tcPr>
          <w:p>
            <w:pPr>
              <w:pStyle w:val="TableContents"/>
              <w:bidi w:val="0"/>
              <w:spacing w:before="0" w:after="0"/>
              <w:ind w:left="0" w:right="0" w:hanging="0"/>
              <w:jc w:val="left"/>
              <w:rPr/>
            </w:pPr>
            <w:r>
              <w:rPr/>
              <w:t> </w:t>
            </w:r>
          </w:p>
        </w:tc>
        <w:tc>
          <w:tcPr>
            <w:tcW w:w="141" w:type="dxa"/>
            <w:tcBorders/>
            <w:shd w:fill="CCEEFF" w:val="clear"/>
          </w:tcPr>
          <w:p>
            <w:pPr>
              <w:pStyle w:val="TableContents"/>
              <w:bidi w:val="0"/>
              <w:spacing w:before="0" w:after="0"/>
              <w:ind w:left="0" w:right="0" w:hanging="0"/>
              <w:jc w:val="left"/>
              <w:rPr/>
            </w:pPr>
            <w:r>
              <w:rPr/>
              <w:t> </w:t>
            </w:r>
          </w:p>
        </w:tc>
        <w:tc>
          <w:tcPr>
            <w:tcW w:w="302" w:type="dxa"/>
            <w:tcBorders/>
            <w:shd w:fill="CCEEFF" w:val="clear"/>
          </w:tcPr>
          <w:p>
            <w:pPr>
              <w:pStyle w:val="TableContents"/>
              <w:bidi w:val="0"/>
              <w:spacing w:before="0" w:after="0"/>
              <w:ind w:left="0" w:right="0" w:hanging="0"/>
              <w:jc w:val="left"/>
              <w:rPr/>
            </w:pPr>
            <w:r>
              <w:rPr/>
              <w:t>$</w:t>
            </w:r>
          </w:p>
        </w:tc>
        <w:tc>
          <w:tcPr>
            <w:tcW w:w="864" w:type="dxa"/>
            <w:tcBorders/>
            <w:shd w:fill="CCEEFF" w:val="clear"/>
          </w:tcPr>
          <w:p>
            <w:pPr>
              <w:pStyle w:val="TableContents"/>
              <w:bidi w:val="0"/>
              <w:spacing w:before="0" w:after="0"/>
              <w:ind w:left="0" w:right="0" w:hanging="0"/>
              <w:jc w:val="right"/>
              <w:rPr/>
            </w:pPr>
            <w:r>
              <w:rPr/>
              <w:t>626</w:t>
            </w:r>
          </w:p>
        </w:tc>
        <w:tc>
          <w:tcPr>
            <w:tcW w:w="292" w:type="dxa"/>
            <w:tcBorders/>
            <w:shd w:fill="CCEEFF" w:val="clear"/>
          </w:tcPr>
          <w:p>
            <w:pPr>
              <w:pStyle w:val="TableContents"/>
              <w:bidi w:val="0"/>
              <w:spacing w:before="0" w:after="0"/>
              <w:jc w:val="left"/>
              <w:rPr/>
            </w:pPr>
            <w:r>
              <w:rPr/>
              <w:t> </w:t>
            </w:r>
          </w:p>
        </w:tc>
        <w:tc>
          <w:tcPr>
            <w:tcW w:w="2715" w:type="dxa"/>
            <w:tcBorders/>
            <w:shd w:fill="CCEEFF" w:val="clear"/>
          </w:tcPr>
          <w:p>
            <w:pPr>
              <w:pStyle w:val="TableContents"/>
              <w:bidi w:val="0"/>
              <w:spacing w:before="0" w:after="0"/>
              <w:ind w:left="0" w:right="0" w:hanging="0"/>
              <w:jc w:val="left"/>
              <w:rPr/>
            </w:pPr>
            <w:r>
              <w:rPr/>
              <w:t>Other noninterest expense</w:t>
            </w:r>
          </w:p>
        </w:tc>
      </w:tr>
      <w:tr>
        <w:trPr/>
        <w:tc>
          <w:tcPr>
            <w:tcW w:w="4318" w:type="dxa"/>
            <w:tcBorders>
              <w:bottom w:val="single" w:sz="12" w:space="0" w:color="000000"/>
            </w:tcBorders>
            <w:tcMar>
              <w:bottom w:w="28" w:type="dxa"/>
            </w:tcMar>
          </w:tcPr>
          <w:p>
            <w:pPr>
              <w:pStyle w:val="TableContents"/>
              <w:bidi w:val="0"/>
              <w:spacing w:before="0" w:after="0"/>
              <w:ind w:left="0" w:right="0" w:hanging="0"/>
              <w:jc w:val="left"/>
              <w:rPr/>
            </w:pPr>
            <w:r>
              <w:rPr/>
              <w:t>Amortization of prior service costs</w:t>
            </w:r>
          </w:p>
        </w:tc>
        <w:tc>
          <w:tcPr>
            <w:tcW w:w="14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3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07" w:type="dxa"/>
            <w:tcBorders>
              <w:bottom w:val="single" w:sz="12" w:space="0" w:color="000000"/>
            </w:tcBorders>
            <w:tcMar>
              <w:bottom w:w="28" w:type="dxa"/>
            </w:tcMar>
          </w:tcPr>
          <w:p>
            <w:pPr>
              <w:pStyle w:val="TableContents"/>
              <w:bidi w:val="0"/>
              <w:spacing w:before="0" w:after="0"/>
              <w:ind w:left="0" w:right="0" w:hanging="0"/>
              <w:jc w:val="right"/>
              <w:rPr>
                <w:b/>
              </w:rPr>
            </w:pPr>
            <w:r>
              <w:rPr>
                <w:b/>
              </w:rPr>
              <w:t>6</w:t>
            </w:r>
          </w:p>
        </w:tc>
        <w:tc>
          <w:tcPr>
            <w:tcW w:w="292"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02"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864" w:type="dxa"/>
            <w:tcBorders>
              <w:bottom w:val="single" w:sz="12" w:space="0" w:color="000000"/>
            </w:tcBorders>
            <w:tcMar>
              <w:bottom w:w="28" w:type="dxa"/>
            </w:tcMar>
          </w:tcPr>
          <w:p>
            <w:pPr>
              <w:pStyle w:val="TableContents"/>
              <w:bidi w:val="0"/>
              <w:spacing w:before="0" w:after="0"/>
              <w:ind w:left="0" w:right="0" w:hanging="0"/>
              <w:jc w:val="right"/>
              <w:rPr/>
            </w:pPr>
            <w:r>
              <w:rPr/>
              <w:t>5</w:t>
            </w:r>
          </w:p>
        </w:tc>
        <w:tc>
          <w:tcPr>
            <w:tcW w:w="292" w:type="dxa"/>
            <w:tcBorders>
              <w:bottom w:val="single" w:sz="12" w:space="0" w:color="000000"/>
            </w:tcBorders>
            <w:tcMar>
              <w:bottom w:w="28" w:type="dxa"/>
            </w:tcMar>
          </w:tcPr>
          <w:p>
            <w:pPr>
              <w:pStyle w:val="TableContents"/>
              <w:bidi w:val="0"/>
              <w:spacing w:before="0" w:after="0"/>
              <w:jc w:val="left"/>
              <w:rPr/>
            </w:pPr>
            <w:r>
              <w:rPr/>
              <w:t> </w:t>
            </w:r>
          </w:p>
        </w:tc>
        <w:tc>
          <w:tcPr>
            <w:tcW w:w="2715" w:type="dxa"/>
            <w:tcBorders>
              <w:bottom w:val="single" w:sz="12" w:space="0" w:color="000000"/>
            </w:tcBorders>
            <w:tcMar>
              <w:bottom w:w="28" w:type="dxa"/>
            </w:tcMar>
          </w:tcPr>
          <w:p>
            <w:pPr>
              <w:pStyle w:val="TableContents"/>
              <w:bidi w:val="0"/>
              <w:spacing w:before="0" w:after="0"/>
              <w:ind w:left="0" w:right="0" w:hanging="0"/>
              <w:jc w:val="left"/>
              <w:rPr/>
            </w:pPr>
            <w:r>
              <w:rPr/>
              <w:t>Other noninterest expense</w:t>
            </w:r>
          </w:p>
        </w:tc>
      </w:tr>
      <w:tr>
        <w:trPr/>
        <w:tc>
          <w:tcPr>
            <w:tcW w:w="4318"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Tax effect</w:t>
            </w:r>
          </w:p>
        </w:tc>
        <w:tc>
          <w:tcPr>
            <w:tcW w:w="14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33"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07" w:type="dxa"/>
            <w:tcBorders>
              <w:bottom w:val="single" w:sz="12" w:space="0" w:color="000000"/>
            </w:tcBorders>
            <w:shd w:fill="CCEEFF" w:val="clear"/>
            <w:tcMar>
              <w:bottom w:w="28" w:type="dxa"/>
            </w:tcMar>
          </w:tcPr>
          <w:p>
            <w:pPr>
              <w:pStyle w:val="TableContents"/>
              <w:bidi w:val="0"/>
              <w:spacing w:before="0" w:after="0"/>
              <w:ind w:left="0" w:right="0" w:hanging="0"/>
              <w:jc w:val="right"/>
              <w:rPr>
                <w:b/>
              </w:rPr>
            </w:pPr>
            <w:r>
              <w:rPr>
                <w:b/>
              </w:rPr>
              <w:t>(16</w:t>
            </w:r>
          </w:p>
        </w:tc>
        <w:tc>
          <w:tcPr>
            <w:tcW w:w="292" w:type="dxa"/>
            <w:tcBorders>
              <w:bottom w:val="single" w:sz="12" w:space="0" w:color="000000"/>
            </w:tcBorders>
            <w:shd w:fill="CCEEFF" w:val="clear"/>
            <w:tcMar>
              <w:bottom w:w="28" w:type="dxa"/>
            </w:tcMar>
          </w:tcPr>
          <w:p>
            <w:pPr>
              <w:pStyle w:val="TableContents"/>
              <w:bidi w:val="0"/>
              <w:spacing w:before="0" w:after="0"/>
              <w:ind w:left="0" w:right="0" w:hanging="0"/>
              <w:jc w:val="left"/>
              <w:rPr>
                <w:b/>
              </w:rPr>
            </w:pPr>
            <w:r>
              <w:rPr>
                <w:b/>
              </w:rPr>
              <w:t>) </w:t>
            </w:r>
          </w:p>
        </w:tc>
        <w:tc>
          <w:tcPr>
            <w:tcW w:w="141"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302"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864"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(158</w:t>
            </w:r>
          </w:p>
        </w:tc>
        <w:tc>
          <w:tcPr>
            <w:tcW w:w="292" w:type="dxa"/>
            <w:tcBorders>
              <w:bottom w:val="single" w:sz="12" w:space="0" w:color="000000"/>
            </w:tcBorders>
            <w:shd w:fill="CCEEFF" w:val="clear"/>
            <w:tcMar>
              <w:bottom w:w="28" w:type="dxa"/>
            </w:tcMar>
          </w:tcPr>
          <w:p>
            <w:pPr>
              <w:pStyle w:val="TableContents"/>
              <w:bidi w:val="0"/>
              <w:spacing w:before="0" w:after="0"/>
              <w:jc w:val="left"/>
              <w:rPr/>
            </w:pPr>
            <w:r>
              <w:rPr/>
              <w:t>) </w:t>
            </w:r>
          </w:p>
        </w:tc>
        <w:tc>
          <w:tcPr>
            <w:tcW w:w="271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Income tax (benefit)</w:t>
            </w:r>
          </w:p>
        </w:tc>
      </w:tr>
      <w:tr>
        <w:trPr/>
        <w:tc>
          <w:tcPr>
            <w:tcW w:w="4318" w:type="dxa"/>
            <w:tcBorders>
              <w:bottom w:val="single" w:sz="12" w:space="0" w:color="000000"/>
            </w:tcBorders>
            <w:tcMar>
              <w:bottom w:w="28" w:type="dxa"/>
            </w:tcMar>
          </w:tcPr>
          <w:p>
            <w:pPr>
              <w:pStyle w:val="TableContents"/>
              <w:bidi w:val="0"/>
              <w:spacing w:before="0" w:after="0"/>
              <w:ind w:left="0" w:right="0" w:hanging="0"/>
              <w:jc w:val="left"/>
              <w:rPr/>
            </w:pPr>
            <w:r>
              <w:rPr/>
              <w:t>Net of tax</w:t>
            </w:r>
          </w:p>
        </w:tc>
        <w:tc>
          <w:tcPr>
            <w:tcW w:w="14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33"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807" w:type="dxa"/>
            <w:tcBorders>
              <w:bottom w:val="single" w:sz="12" w:space="0" w:color="000000"/>
            </w:tcBorders>
            <w:tcMar>
              <w:bottom w:w="28" w:type="dxa"/>
            </w:tcMar>
          </w:tcPr>
          <w:p>
            <w:pPr>
              <w:pStyle w:val="TableContents"/>
              <w:bidi w:val="0"/>
              <w:spacing w:before="0" w:after="0"/>
              <w:ind w:left="0" w:right="0" w:hanging="0"/>
              <w:jc w:val="right"/>
              <w:rPr>
                <w:b/>
              </w:rPr>
            </w:pPr>
            <w:r>
              <w:rPr>
                <w:b/>
              </w:rPr>
              <w:t>48</w:t>
            </w:r>
          </w:p>
        </w:tc>
        <w:tc>
          <w:tcPr>
            <w:tcW w:w="292"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41"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302"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864" w:type="dxa"/>
            <w:tcBorders>
              <w:bottom w:val="single" w:sz="12" w:space="0" w:color="000000"/>
            </w:tcBorders>
            <w:tcMar>
              <w:bottom w:w="28" w:type="dxa"/>
            </w:tcMar>
          </w:tcPr>
          <w:p>
            <w:pPr>
              <w:pStyle w:val="TableContents"/>
              <w:bidi w:val="0"/>
              <w:spacing w:before="0" w:after="0"/>
              <w:ind w:left="0" w:right="0" w:hanging="0"/>
              <w:jc w:val="right"/>
              <w:rPr/>
            </w:pPr>
            <w:r>
              <w:rPr/>
              <w:t>473</w:t>
            </w:r>
          </w:p>
        </w:tc>
        <w:tc>
          <w:tcPr>
            <w:tcW w:w="292" w:type="dxa"/>
            <w:tcBorders>
              <w:bottom w:val="single" w:sz="12" w:space="0" w:color="000000"/>
            </w:tcBorders>
            <w:tcMar>
              <w:bottom w:w="28" w:type="dxa"/>
            </w:tcMar>
          </w:tcPr>
          <w:p>
            <w:pPr>
              <w:pStyle w:val="TableContents"/>
              <w:bidi w:val="0"/>
              <w:spacing w:before="0" w:after="0"/>
              <w:jc w:val="left"/>
              <w:rPr/>
            </w:pPr>
            <w:r>
              <w:rPr/>
              <w:t> </w:t>
            </w:r>
          </w:p>
        </w:tc>
        <w:tc>
          <w:tcPr>
            <w:tcW w:w="2715" w:type="dxa"/>
            <w:tcBorders>
              <w:bottom w:val="single" w:sz="12" w:space="0" w:color="000000"/>
            </w:tcBorders>
            <w:tcMar>
              <w:bottom w:w="28" w:type="dxa"/>
            </w:tcMar>
          </w:tcPr>
          <w:p>
            <w:pPr>
              <w:pStyle w:val="TableContents"/>
              <w:bidi w:val="0"/>
              <w:spacing w:before="0" w:after="283"/>
              <w:jc w:val="left"/>
              <w:rPr/>
            </w:pPr>
            <w:r>
              <w:rPr/>
              <w:t> </w:t>
            </w:r>
          </w:p>
        </w:tc>
      </w:tr>
      <w:tr>
        <w:trPr/>
        <w:tc>
          <w:tcPr>
            <w:tcW w:w="4318"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Total reclassifications, net of tax</w:t>
            </w:r>
          </w:p>
        </w:tc>
        <w:tc>
          <w:tcPr>
            <w:tcW w:w="14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333"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07" w:type="dxa"/>
            <w:tcBorders>
              <w:bottom w:val="double" w:sz="8" w:space="0" w:color="000000"/>
            </w:tcBorders>
            <w:shd w:fill="CCEEFF" w:val="clear"/>
            <w:tcMar>
              <w:bottom w:w="28" w:type="dxa"/>
            </w:tcMar>
          </w:tcPr>
          <w:p>
            <w:pPr>
              <w:pStyle w:val="TableContents"/>
              <w:bidi w:val="0"/>
              <w:spacing w:before="0" w:after="0"/>
              <w:ind w:left="0" w:right="0" w:hanging="0"/>
              <w:jc w:val="right"/>
              <w:rPr>
                <w:b/>
              </w:rPr>
            </w:pPr>
            <w:r>
              <w:rPr>
                <w:b/>
              </w:rPr>
              <w:t>133</w:t>
            </w:r>
          </w:p>
        </w:tc>
        <w:tc>
          <w:tcPr>
            <w:tcW w:w="292"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141"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302"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w:t>
            </w:r>
          </w:p>
        </w:tc>
        <w:tc>
          <w:tcPr>
            <w:tcW w:w="864"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582</w:t>
            </w:r>
          </w:p>
        </w:tc>
        <w:tc>
          <w:tcPr>
            <w:tcW w:w="292" w:type="dxa"/>
            <w:tcBorders>
              <w:bottom w:val="double" w:sz="8" w:space="0" w:color="000000"/>
            </w:tcBorders>
            <w:shd w:fill="CCEEFF" w:val="clear"/>
            <w:tcMar>
              <w:bottom w:w="28" w:type="dxa"/>
            </w:tcMar>
          </w:tcPr>
          <w:p>
            <w:pPr>
              <w:pStyle w:val="TableContents"/>
              <w:bidi w:val="0"/>
              <w:spacing w:before="0" w:after="0"/>
              <w:jc w:val="left"/>
              <w:rPr/>
            </w:pPr>
            <w:r>
              <w:rPr/>
              <w:t> </w:t>
            </w:r>
          </w:p>
        </w:tc>
        <w:tc>
          <w:tcPr>
            <w:tcW w:w="2715" w:type="dxa"/>
            <w:tcBorders>
              <w:bottom w:val="double" w:sz="8"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12. Derivative Instruments and Hedging Activities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risk, primarily by managing the amount, sources and duration of its assets and liabilities and through the use of derivative instruments. Specifically, the Company may enter into derivative financial instruments to manage exposures that arise from business activities that result in the receipt or payment of future known and uncertain cash amounts, the value of which is determined by interest rates. Generally, the Company may use derivative financial instruments to manage differences in the amount, timing and duration of the Company’s known or expected cash receipts and its known or expected cash payments. Currently, the Company has interest rate derivatives resulting from a service provided to certain qualifying customers and, therefore, are not used to manage interest rate risk in the Company’s assets or liabilities. The Company manages a matched book with respect to its derivative instruments in order to minimize its net risk exposure resulting from such transactions.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i/>
          <w:sz w:val="20"/>
        </w:rPr>
        <w:t>Derivatives Not Designated as Hedging Instruments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enters into interest rate swaps to facilitate customer transactions and meet their financing needs. These swaps are considered derivatives, but are not designated as hedging instruments. These instruments have interest rate and credit risk associated with them. To mitigate the interest rate risk, the Company enters into offsetting interest rate swaps with counterparties. The counterparty swaps are also considered derivatives and are also not designated as hedging instruments. Interest rate swaps are recorded within other assets or other liabilities on the consolidated balance sheets at their estimated fair value. Changes to the fair value of assets and liabilities arising from these derivatives are included, net, in other operating income in the consolidated statements of income.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is subject to over-the-counter derivative clearing requirements, which require certain derivatives to be cleared through central clearing houses. Accordingly, the Company clears certain derivative transactions through the Chicago Mercantile Exchange Clearing House (“CME”). The CME requires the Company to post initial and variation margin payments to mitigate the risk of non-payment, the latter of which is received or paid daily based on the net asset or liability position of the contracts. A daily settlement occurs through the CME for changes in the fair value of centrally cleared derivatives. Not all of the derivatives are required to be cleared through the daily clearing agent. As a result, the total fair values of loan level derivative assets and liabilities recognized on the Company’s financial statements are not equal and offsetting.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June 30, 2026 and December 31, 2025, the Company had twenty-four and twenty-two risk participation agreements, respectively, with financial institution counterparties for interest rate swaps related to participated loans. Risk participation agreements provide credit protection to the financial institution that originated the swap transaction should the borrower fail to perform on its obligation. The Company enters into both risk participation agreements in which it purchases credit protection from other financial institutions and those in which it provides credit protection to other financial institutions. </w:t>
      </w:r>
    </w:p>
    <w:p>
      <w:pPr>
        <w:pStyle w:val="TextBody"/>
        <w:bidi w:val="0"/>
        <w:spacing w:before="0" w:after="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following table summarizes the derivatives outstanding: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4"/>
        <w:gridCol w:w="90"/>
        <w:gridCol w:w="170"/>
        <w:gridCol w:w="1010"/>
        <w:gridCol w:w="90"/>
        <w:gridCol w:w="90"/>
        <w:gridCol w:w="90"/>
        <w:gridCol w:w="1004"/>
        <w:gridCol w:w="90"/>
        <w:gridCol w:w="90"/>
        <w:gridCol w:w="170"/>
        <w:gridCol w:w="770"/>
        <w:gridCol w:w="90"/>
        <w:gridCol w:w="90"/>
        <w:gridCol w:w="170"/>
        <w:gridCol w:w="1010"/>
        <w:gridCol w:w="90"/>
        <w:gridCol w:w="1171"/>
        <w:gridCol w:w="90"/>
        <w:gridCol w:w="170"/>
        <w:gridCol w:w="770"/>
        <w:gridCol w:w="136"/>
      </w:tblGrid>
      <w:tr>
        <w:trPr/>
        <w:tc>
          <w:tcPr>
            <w:tcW w:w="27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4" w:type="dxa"/>
            <w:gridSpan w:val="2"/>
            <w:tcBorders/>
            <w:vAlign w:val="center"/>
          </w:tcPr>
          <w:p>
            <w:pPr>
              <w:pStyle w:val="TableContents"/>
              <w:bidi w:val="0"/>
              <w:spacing w:before="0" w:after="283"/>
              <w:jc w:val="center"/>
              <w:rPr>
                <w:b/>
              </w:rPr>
            </w:pPr>
            <w:r>
              <w:rPr>
                <w:b/>
              </w:rPr>
              <w:t>Balance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center"/>
              <w:rPr>
                <w:b/>
              </w:rPr>
            </w:pPr>
            <w:r>
              <w:rPr>
                <w:b/>
              </w:rPr>
              <w:t>Balance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jc w:val="left"/>
              <w:rPr/>
            </w:pPr>
            <w:r>
              <w:rPr/>
              <w:t> </w:t>
            </w:r>
          </w:p>
        </w:tc>
      </w:tr>
      <w:tr>
        <w:trPr/>
        <w:tc>
          <w:tcPr>
            <w:tcW w:w="27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Notional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4" w:type="dxa"/>
            <w:gridSpan w:val="2"/>
            <w:tcBorders/>
            <w:vAlign w:val="center"/>
          </w:tcPr>
          <w:p>
            <w:pPr>
              <w:pStyle w:val="TableContents"/>
              <w:bidi w:val="0"/>
              <w:spacing w:before="0" w:after="283"/>
              <w:jc w:val="center"/>
              <w:rPr>
                <w:b/>
              </w:rPr>
            </w:pPr>
            <w:r>
              <w:rPr>
                <w:b/>
              </w:rPr>
              <w:t>Sheet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Fair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Notional</w:t>
            </w:r>
          </w:p>
        </w:tc>
        <w:tc>
          <w:tcPr>
            <w:tcW w:w="90"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center"/>
              <w:rPr>
                <w:b/>
              </w:rPr>
            </w:pPr>
            <w:r>
              <w:rPr>
                <w:b/>
              </w:rPr>
              <w:t>Sheet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b/>
              </w:rPr>
            </w:pPr>
            <w:r>
              <w:rPr>
                <w:b/>
              </w:rPr>
              <w:t>Fair</w:t>
            </w:r>
          </w:p>
        </w:tc>
        <w:tc>
          <w:tcPr>
            <w:tcW w:w="136" w:type="dxa"/>
            <w:tcBorders/>
            <w:vAlign w:val="center"/>
          </w:tcPr>
          <w:p>
            <w:pPr>
              <w:pStyle w:val="TableContents"/>
              <w:bidi w:val="0"/>
              <w:spacing w:before="0" w:after="283"/>
              <w:jc w:val="left"/>
              <w:rPr/>
            </w:pPr>
            <w:r>
              <w:rPr/>
              <w:t> </w:t>
            </w:r>
          </w:p>
        </w:tc>
      </w:tr>
      <w:tr>
        <w:trPr/>
        <w:tc>
          <w:tcPr>
            <w:tcW w:w="2754" w:type="dxa"/>
            <w:tcBorders>
              <w:bottom w:val="single" w:sz="12" w:space="0" w:color="000000"/>
            </w:tcBorders>
            <w:tcMar>
              <w:bottom w:w="28" w:type="dxa"/>
            </w:tcMar>
            <w:vAlign w:val="center"/>
          </w:tcPr>
          <w:p>
            <w:pPr>
              <w:pStyle w:val="TableContents"/>
              <w:bidi w:val="0"/>
              <w:spacing w:before="0" w:after="283"/>
              <w:jc w:val="left"/>
              <w:rPr>
                <w:i/>
              </w:rPr>
            </w:pPr>
            <w:r>
              <w:rPr>
                <w:i/>
              </w:rPr>
              <w:t>(In thousands)</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Location</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center"/>
              <w:rPr>
                <w:b/>
              </w:rPr>
            </w:pPr>
            <w:r>
              <w:rPr>
                <w:b/>
              </w:rPr>
              <w:t>Location</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54" w:type="dxa"/>
            <w:tcBorders/>
            <w:vAlign w:val="center"/>
          </w:tcPr>
          <w:p>
            <w:pPr>
              <w:pStyle w:val="TableContents"/>
              <w:bidi w:val="0"/>
              <w:spacing w:before="0" w:after="283"/>
              <w:jc w:val="left"/>
              <w:rPr>
                <w:b/>
              </w:rPr>
            </w:pPr>
            <w:r>
              <w:rPr>
                <w:b/>
              </w:rPr>
              <w:t>As of June 30, 2026</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jc w:val="left"/>
              <w:rPr/>
            </w:pPr>
            <w:r>
              <w:rPr/>
              <w:t> </w:t>
            </w:r>
          </w:p>
        </w:tc>
      </w:tr>
      <w:tr>
        <w:trPr/>
        <w:tc>
          <w:tcPr>
            <w:tcW w:w="2754" w:type="dxa"/>
            <w:tcBorders/>
            <w:vAlign w:val="center"/>
          </w:tcPr>
          <w:p>
            <w:pPr>
              <w:pStyle w:val="TableContents"/>
              <w:bidi w:val="0"/>
              <w:spacing w:before="0" w:after="0"/>
              <w:ind w:left="0" w:right="0" w:hanging="144"/>
              <w:jc w:val="left"/>
              <w:rPr/>
            </w:pPr>
            <w:r>
              <w:rPr/>
              <w:t xml:space="preserve">Derivatives not designated as hedging instruments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0"/>
              <w:jc w:val="left"/>
              <w:rPr/>
            </w:pPr>
            <w:r>
              <w:rPr/>
              <w:t xml:space="preserve">Interest rate derivatives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left"/>
              <w:rPr>
                <w:b/>
              </w:rPr>
            </w:pPr>
            <w:r>
              <w:rPr>
                <w:b/>
              </w:rPr>
              <w:t>1,279,476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0"/>
              <w:jc w:val="left"/>
              <w:rPr/>
            </w:pPr>
            <w:r>
              <w:rPr/>
              <w:t xml:space="preserve">Other assets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70" w:type="dxa"/>
            <w:tcBorders/>
            <w:shd w:fill="CCEEFF" w:val="clear"/>
            <w:vAlign w:val="center"/>
          </w:tcPr>
          <w:p>
            <w:pPr>
              <w:pStyle w:val="TableContents"/>
              <w:bidi w:val="0"/>
              <w:spacing w:before="0" w:after="283"/>
              <w:jc w:val="left"/>
              <w:rPr>
                <w:b/>
              </w:rPr>
            </w:pPr>
            <w:r>
              <w:rPr>
                <w:b/>
              </w:rPr>
              <w:t>72,126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left"/>
              <w:rPr>
                <w:b/>
              </w:rPr>
            </w:pPr>
            <w:r>
              <w:rPr>
                <w:b/>
              </w:rPr>
              <w:t>1,279,476</w:t>
            </w:r>
          </w:p>
        </w:tc>
        <w:tc>
          <w:tcPr>
            <w:tcW w:w="90"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left"/>
              <w:rPr/>
            </w:pPr>
            <w:r>
              <w:rPr/>
              <w:t xml:space="preserve">Other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70" w:type="dxa"/>
            <w:tcBorders/>
            <w:shd w:fill="CCEEFF" w:val="clear"/>
            <w:vAlign w:val="center"/>
          </w:tcPr>
          <w:p>
            <w:pPr>
              <w:pStyle w:val="TableContents"/>
              <w:bidi w:val="0"/>
              <w:spacing w:before="0" w:after="283"/>
              <w:jc w:val="left"/>
              <w:rPr>
                <w:b/>
              </w:rPr>
            </w:pPr>
            <w:r>
              <w:rPr>
                <w:b/>
              </w:rPr>
              <w:t>72,037</w:t>
            </w:r>
          </w:p>
        </w:tc>
        <w:tc>
          <w:tcPr>
            <w:tcW w:w="136" w:type="dxa"/>
            <w:tcBorders/>
            <w:shd w:fill="CCEEFF" w:val="clear"/>
            <w:vAlign w:val="center"/>
          </w:tcPr>
          <w:p>
            <w:pPr>
              <w:pStyle w:val="TableContents"/>
              <w:bidi w:val="0"/>
              <w:spacing w:before="0" w:after="283"/>
              <w:jc w:val="left"/>
              <w:rPr/>
            </w:pPr>
            <w:r>
              <w:rPr/>
              <w:t> </w:t>
            </w:r>
          </w:p>
        </w:tc>
      </w:tr>
      <w:tr>
        <w:trPr/>
        <w:tc>
          <w:tcPr>
            <w:tcW w:w="2754" w:type="dxa"/>
            <w:tcBorders>
              <w:bottom w:val="single" w:sz="12" w:space="0" w:color="000000"/>
            </w:tcBorders>
            <w:tcMar>
              <w:bottom w:w="28" w:type="dxa"/>
            </w:tcMar>
            <w:vAlign w:val="center"/>
          </w:tcPr>
          <w:p>
            <w:pPr>
              <w:pStyle w:val="TableContents"/>
              <w:bidi w:val="0"/>
              <w:spacing w:before="0" w:after="0"/>
              <w:jc w:val="left"/>
              <w:rPr/>
            </w:pPr>
            <w:r>
              <w:rPr/>
              <w:t xml:space="preserve">Risk participation agreements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b/>
              </w:rPr>
            </w:pPr>
            <w:r>
              <w:rPr>
                <w:b/>
              </w:rPr>
              <w:t>96,259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tcMar>
              <w:bottom w:w="28" w:type="dxa"/>
            </w:tcMar>
            <w:vAlign w:val="center"/>
          </w:tcPr>
          <w:p>
            <w:pPr>
              <w:pStyle w:val="TableContents"/>
              <w:bidi w:val="0"/>
              <w:spacing w:before="0" w:after="0"/>
              <w:jc w:val="left"/>
              <w:rPr/>
            </w:pPr>
            <w:r>
              <w:rPr/>
              <w:t xml:space="preserve">Other assets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b/>
              </w:rPr>
            </w:pPr>
            <w:r>
              <w:rPr>
                <w:b/>
              </w:rPr>
              <w:t>44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b/>
              </w:rPr>
            </w:pPr>
            <w:r>
              <w:rPr>
                <w:b/>
              </w:rPr>
              <w:t>37,673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0"/>
              <w:jc w:val="left"/>
              <w:rPr/>
            </w:pPr>
            <w:r>
              <w:rPr/>
              <w:t xml:space="preserve">Other liabilities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b/>
              </w:rPr>
            </w:pPr>
            <w:r>
              <w:rPr>
                <w:b/>
              </w:rPr>
              <w:t>16</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0"/>
              <w:ind w:left="0" w:right="0" w:hanging="144"/>
              <w:jc w:val="left"/>
              <w:rPr/>
            </w:pPr>
            <w:r>
              <w:rPr/>
              <w:t xml:space="preserve">Total derivatives not designated as hedging instruments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70" w:type="dxa"/>
            <w:tcBorders/>
            <w:shd w:fill="CCEEFF" w:val="clear"/>
            <w:vAlign w:val="center"/>
          </w:tcPr>
          <w:p>
            <w:pPr>
              <w:pStyle w:val="TableContents"/>
              <w:bidi w:val="0"/>
              <w:spacing w:before="0" w:after="283"/>
              <w:jc w:val="left"/>
              <w:rPr/>
            </w:pPr>
            <w:r>
              <w:rPr/>
              <w:t> </w:t>
            </w:r>
            <w:r>
              <w:rPr>
                <w:b/>
                <w:spacing w:val="0"/>
              </w:rPr>
              <w:t>72,170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70" w:type="dxa"/>
            <w:tcBorders/>
            <w:shd w:fill="CCEEFF" w:val="clear"/>
            <w:vAlign w:val="center"/>
          </w:tcPr>
          <w:p>
            <w:pPr>
              <w:pStyle w:val="TableContents"/>
              <w:bidi w:val="0"/>
              <w:spacing w:before="0" w:after="283"/>
              <w:jc w:val="left"/>
              <w:rPr/>
            </w:pPr>
            <w:r>
              <w:rPr/>
              <w:t> </w:t>
            </w:r>
            <w:r>
              <w:rPr>
                <w:b/>
                <w:spacing w:val="0"/>
              </w:rPr>
              <w:t>72,053</w:t>
            </w:r>
          </w:p>
        </w:tc>
        <w:tc>
          <w:tcPr>
            <w:tcW w:w="136" w:type="dxa"/>
            <w:tcBorders/>
            <w:shd w:fill="CCEEFF" w:val="clear"/>
            <w:vAlign w:val="center"/>
          </w:tcPr>
          <w:p>
            <w:pPr>
              <w:pStyle w:val="TableContents"/>
              <w:bidi w:val="0"/>
              <w:spacing w:before="0" w:after="283"/>
              <w:jc w:val="left"/>
              <w:rPr/>
            </w:pPr>
            <w:r>
              <w:rPr/>
              <w:t> </w:t>
            </w:r>
          </w:p>
        </w:tc>
      </w:tr>
      <w:tr>
        <w:trPr/>
        <w:tc>
          <w:tcPr>
            <w:tcW w:w="2754" w:type="dxa"/>
            <w:tcBorders>
              <w:bottom w:val="single" w:sz="12" w:space="0" w:color="000000"/>
            </w:tcBorders>
            <w:tcMar>
              <w:bottom w:w="28" w:type="dxa"/>
            </w:tcMar>
            <w:vAlign w:val="center"/>
          </w:tcPr>
          <w:p>
            <w:pPr>
              <w:pStyle w:val="TableContents"/>
              <w:bidi w:val="0"/>
              <w:spacing w:before="0" w:after="0"/>
              <w:ind w:left="0" w:right="0" w:hanging="144"/>
              <w:jc w:val="left"/>
              <w:rPr/>
            </w:pPr>
            <w:r>
              <w:rPr/>
              <w:t>Netting adjustments(1)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pPr>
            <w:r>
              <w:rPr/>
              <w:t> </w:t>
            </w:r>
            <w:r>
              <w:rPr>
                <w:b/>
                <w:spacing w:val="0"/>
              </w:rPr>
              <w:t>17,471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pPr>
            <w:r>
              <w:rPr/>
              <w:t> </w:t>
            </w:r>
            <w:r>
              <w:rPr/>
              <w:t>-</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54"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Net derivatives in the balance sheet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r>
              <w:rPr>
                <w:b/>
                <w:spacing w:val="0"/>
              </w:rPr>
              <w:t>54,699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r>
              <w:rPr>
                <w:b/>
                <w:spacing w:val="0"/>
              </w:rPr>
              <w:t>72,053</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54" w:type="dxa"/>
            <w:tcBorders/>
            <w:vAlign w:val="center"/>
          </w:tcPr>
          <w:p>
            <w:pPr>
              <w:pStyle w:val="TableContents"/>
              <w:bidi w:val="0"/>
              <w:spacing w:before="0" w:after="0"/>
              <w:ind w:left="0" w:right="0" w:hanging="144"/>
              <w:jc w:val="left"/>
              <w:rPr/>
            </w:pPr>
            <w:r>
              <w:rPr/>
              <w:t xml:space="preserve">Derivatives not offset on the balance sheet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70" w:type="dxa"/>
            <w:tcBorders/>
            <w:vAlign w:val="center"/>
          </w:tcPr>
          <w:p>
            <w:pPr>
              <w:pStyle w:val="TableContents"/>
              <w:bidi w:val="0"/>
              <w:spacing w:before="0" w:after="283"/>
              <w:jc w:val="left"/>
              <w:rPr/>
            </w:pPr>
            <w:r>
              <w:rPr/>
              <w:t> </w:t>
            </w:r>
            <w:r>
              <w:rPr>
                <w:b/>
                <w:spacing w:val="0"/>
              </w:rPr>
              <w:t>1,957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70" w:type="dxa"/>
            <w:tcBorders/>
            <w:vAlign w:val="center"/>
          </w:tcPr>
          <w:p>
            <w:pPr>
              <w:pStyle w:val="TableContents"/>
              <w:bidi w:val="0"/>
              <w:spacing w:before="0" w:after="283"/>
              <w:jc w:val="left"/>
              <w:rPr/>
            </w:pPr>
            <w:r>
              <w:rPr/>
              <w:t> </w:t>
            </w:r>
            <w:r>
              <w:rPr>
                <w:b/>
                <w:spacing w:val="0"/>
              </w:rPr>
              <w:t>1,957</w:t>
            </w:r>
          </w:p>
        </w:tc>
        <w:tc>
          <w:tcPr>
            <w:tcW w:w="136" w:type="dxa"/>
            <w:tcBorders/>
            <w:vAlign w:val="center"/>
          </w:tcPr>
          <w:p>
            <w:pPr>
              <w:pStyle w:val="TableContents"/>
              <w:bidi w:val="0"/>
              <w:spacing w:before="0" w:after="283"/>
              <w:jc w:val="left"/>
              <w:rPr/>
            </w:pPr>
            <w:r>
              <w:rPr/>
              <w:t> </w:t>
            </w:r>
          </w:p>
        </w:tc>
      </w:tr>
      <w:tr>
        <w:trPr/>
        <w:tc>
          <w:tcPr>
            <w:tcW w:w="2754"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Cash collateral(2)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r>
              <w:rPr>
                <w:b/>
                <w:spacing w:val="0"/>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r>
              <w:rPr/>
              <w:t>-</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54"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Net derivative amounts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70" w:type="dxa"/>
            <w:tcBorders>
              <w:bottom w:val="single" w:sz="12" w:space="0" w:color="000000"/>
            </w:tcBorders>
            <w:tcMar>
              <w:bottom w:w="28" w:type="dxa"/>
            </w:tcMar>
            <w:vAlign w:val="center"/>
          </w:tcPr>
          <w:p>
            <w:pPr>
              <w:pStyle w:val="TableContents"/>
              <w:bidi w:val="0"/>
              <w:spacing w:before="0" w:after="283"/>
              <w:jc w:val="left"/>
              <w:rPr/>
            </w:pPr>
            <w:r>
              <w:rPr/>
              <w:t> </w:t>
            </w:r>
            <w:r>
              <w:rPr>
                <w:b/>
                <w:spacing w:val="0"/>
              </w:rPr>
              <w:t>52,742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70" w:type="dxa"/>
            <w:tcBorders>
              <w:bottom w:val="single" w:sz="12" w:space="0" w:color="000000"/>
            </w:tcBorders>
            <w:tcMar>
              <w:bottom w:w="28" w:type="dxa"/>
            </w:tcMar>
            <w:vAlign w:val="center"/>
          </w:tcPr>
          <w:p>
            <w:pPr>
              <w:pStyle w:val="TableContents"/>
              <w:bidi w:val="0"/>
              <w:spacing w:before="0" w:after="283"/>
              <w:jc w:val="left"/>
              <w:rPr/>
            </w:pPr>
            <w:r>
              <w:rPr/>
              <w:t> </w:t>
            </w:r>
            <w:r>
              <w:rPr>
                <w:b/>
                <w:spacing w:val="0"/>
              </w:rPr>
              <w:t>70,096</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0"/>
              <w:ind w:left="0" w:right="0" w:hanging="144"/>
              <w:jc w:val="left"/>
              <w:rPr/>
            </w:pPr>
            <w:r>
              <w:rPr>
                <w:b/>
              </w:rPr>
              <w:t>As of December 31, 2025</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2754" w:type="dxa"/>
            <w:tcBorders/>
            <w:vAlign w:val="center"/>
          </w:tcPr>
          <w:p>
            <w:pPr>
              <w:pStyle w:val="TableContents"/>
              <w:bidi w:val="0"/>
              <w:spacing w:before="0" w:after="0"/>
              <w:ind w:left="0" w:right="0" w:hanging="144"/>
              <w:jc w:val="left"/>
              <w:rPr/>
            </w:pPr>
            <w:r>
              <w:rPr/>
              <w:t xml:space="preserve">Derivatives not designated as hedging instruments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0"/>
              <w:jc w:val="left"/>
              <w:rPr/>
            </w:pPr>
            <w:r>
              <w:rPr/>
              <w:t xml:space="preserve">Interest rate derivatives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left"/>
              <w:rPr/>
            </w:pPr>
            <w:r>
              <w:rPr/>
              <w:t>1,332,295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0"/>
              <w:jc w:val="left"/>
              <w:rPr/>
            </w:pPr>
            <w:r>
              <w:rPr/>
              <w:t xml:space="preserve">Other assets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left"/>
              <w:rPr/>
            </w:pPr>
            <w:r>
              <w:rPr/>
              <w:t>68,061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left"/>
              <w:rPr/>
            </w:pPr>
            <w:r>
              <w:rPr/>
              <w:t>1,332,295</w:t>
            </w:r>
          </w:p>
        </w:tc>
        <w:tc>
          <w:tcPr>
            <w:tcW w:w="90"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left"/>
              <w:rPr/>
            </w:pPr>
            <w:r>
              <w:rPr/>
              <w:t xml:space="preserve">Other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left"/>
              <w:rPr/>
            </w:pPr>
            <w:r>
              <w:rPr/>
              <w:t>68,050</w:t>
            </w:r>
          </w:p>
        </w:tc>
        <w:tc>
          <w:tcPr>
            <w:tcW w:w="136" w:type="dxa"/>
            <w:tcBorders/>
            <w:shd w:fill="CCEEFF" w:val="clear"/>
            <w:vAlign w:val="center"/>
          </w:tcPr>
          <w:p>
            <w:pPr>
              <w:pStyle w:val="TableContents"/>
              <w:bidi w:val="0"/>
              <w:spacing w:before="0" w:after="283"/>
              <w:jc w:val="left"/>
              <w:rPr/>
            </w:pPr>
            <w:r>
              <w:rPr/>
              <w:t> </w:t>
            </w:r>
          </w:p>
        </w:tc>
      </w:tr>
      <w:tr>
        <w:trPr/>
        <w:tc>
          <w:tcPr>
            <w:tcW w:w="2754" w:type="dxa"/>
            <w:tcBorders>
              <w:bottom w:val="single" w:sz="12" w:space="0" w:color="000000"/>
            </w:tcBorders>
            <w:tcMar>
              <w:bottom w:w="28" w:type="dxa"/>
            </w:tcMar>
            <w:vAlign w:val="center"/>
          </w:tcPr>
          <w:p>
            <w:pPr>
              <w:pStyle w:val="TableContents"/>
              <w:bidi w:val="0"/>
              <w:spacing w:before="0" w:after="0"/>
              <w:jc w:val="left"/>
              <w:rPr/>
            </w:pPr>
            <w:r>
              <w:rPr/>
              <w:t xml:space="preserve">Risk participation agreements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97,319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tcMar>
              <w:bottom w:w="28" w:type="dxa"/>
            </w:tcMar>
            <w:vAlign w:val="center"/>
          </w:tcPr>
          <w:p>
            <w:pPr>
              <w:pStyle w:val="TableContents"/>
              <w:bidi w:val="0"/>
              <w:spacing w:before="0" w:after="0"/>
              <w:jc w:val="left"/>
              <w:rPr/>
            </w:pPr>
            <w:r>
              <w:rPr/>
              <w:t xml:space="preserve">Other assets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pPr>
            <w:r>
              <w:rPr/>
              <w:t>53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15,791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0"/>
              <w:jc w:val="left"/>
              <w:rPr/>
            </w:pPr>
            <w:r>
              <w:rPr/>
              <w:t xml:space="preserve">Other liabilities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pPr>
            <w:r>
              <w:rPr/>
              <w:t>16</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54" w:type="dxa"/>
            <w:tcBorders/>
            <w:shd w:fill="CCEEFF" w:val="clear"/>
            <w:vAlign w:val="center"/>
          </w:tcPr>
          <w:p>
            <w:pPr>
              <w:pStyle w:val="TableContents"/>
              <w:bidi w:val="0"/>
              <w:spacing w:before="0" w:after="0"/>
              <w:ind w:left="0" w:right="0" w:hanging="144"/>
              <w:jc w:val="left"/>
              <w:rPr/>
            </w:pPr>
            <w:r>
              <w:rPr/>
              <w:t xml:space="preserve">Total derivatives not designated as hedging instruments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left"/>
              <w:rPr/>
            </w:pPr>
            <w:r>
              <w:rPr>
                <w:spacing w:val="0"/>
              </w:rPr>
              <w:t>68,114</w:t>
            </w: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left"/>
              <w:rPr/>
            </w:pPr>
            <w:r>
              <w:rPr>
                <w:spacing w:val="0"/>
              </w:rPr>
              <w:t>68,066</w:t>
            </w:r>
            <w:r>
              <w:rPr/>
              <w:t> </w:t>
            </w:r>
          </w:p>
        </w:tc>
        <w:tc>
          <w:tcPr>
            <w:tcW w:w="136" w:type="dxa"/>
            <w:tcBorders/>
            <w:shd w:fill="CCEEFF" w:val="clear"/>
            <w:vAlign w:val="center"/>
          </w:tcPr>
          <w:p>
            <w:pPr>
              <w:pStyle w:val="TableContents"/>
              <w:bidi w:val="0"/>
              <w:spacing w:before="0" w:after="283"/>
              <w:jc w:val="left"/>
              <w:rPr/>
            </w:pPr>
            <w:r>
              <w:rPr/>
              <w:t> </w:t>
            </w:r>
          </w:p>
        </w:tc>
      </w:tr>
      <w:tr>
        <w:trPr/>
        <w:tc>
          <w:tcPr>
            <w:tcW w:w="2754" w:type="dxa"/>
            <w:tcBorders>
              <w:bottom w:val="single" w:sz="12" w:space="0" w:color="000000"/>
            </w:tcBorders>
            <w:tcMar>
              <w:bottom w:w="28" w:type="dxa"/>
            </w:tcMar>
            <w:vAlign w:val="center"/>
          </w:tcPr>
          <w:p>
            <w:pPr>
              <w:pStyle w:val="TableContents"/>
              <w:bidi w:val="0"/>
              <w:spacing w:before="0" w:after="0"/>
              <w:ind w:left="0" w:right="0" w:hanging="144"/>
              <w:jc w:val="left"/>
              <w:rPr/>
            </w:pPr>
            <w:r>
              <w:rPr/>
              <w:t>Netting adjustments(1)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pPr>
            <w:r>
              <w:rPr>
                <w:spacing w:val="0"/>
              </w:rPr>
              <w:t>16,010</w:t>
            </w: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54"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Net derivatives in the balance sheet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spacing w:val="0"/>
              </w:rPr>
              <w:t>52,104</w:t>
            </w: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spacing w:val="0"/>
              </w:rPr>
              <w:t>68,066</w:t>
            </w: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54" w:type="dxa"/>
            <w:tcBorders/>
            <w:vAlign w:val="center"/>
          </w:tcPr>
          <w:p>
            <w:pPr>
              <w:pStyle w:val="TableContents"/>
              <w:bidi w:val="0"/>
              <w:spacing w:before="0" w:after="0"/>
              <w:ind w:left="0" w:right="0" w:hanging="144"/>
              <w:jc w:val="left"/>
              <w:rPr/>
            </w:pPr>
            <w:r>
              <w:rPr/>
              <w:t xml:space="preserve">Derivatives not offset on the balance sheet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0"/>
              </w:rPr>
              <w:t>5,722</w:t>
            </w: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0"/>
              </w:rPr>
              <w:t>5,722</w:t>
            </w:r>
            <w:r>
              <w:rPr/>
              <w:t> </w:t>
            </w:r>
          </w:p>
        </w:tc>
        <w:tc>
          <w:tcPr>
            <w:tcW w:w="136" w:type="dxa"/>
            <w:tcBorders/>
            <w:vAlign w:val="center"/>
          </w:tcPr>
          <w:p>
            <w:pPr>
              <w:pStyle w:val="TableContents"/>
              <w:bidi w:val="0"/>
              <w:spacing w:before="0" w:after="283"/>
              <w:jc w:val="left"/>
              <w:rPr/>
            </w:pPr>
            <w:r>
              <w:rPr/>
              <w:t> </w:t>
            </w:r>
          </w:p>
        </w:tc>
      </w:tr>
      <w:tr>
        <w:trPr/>
        <w:tc>
          <w:tcPr>
            <w:tcW w:w="2754"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Cash collateral(2)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54"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Net derivative amounts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70" w:type="dxa"/>
            <w:tcBorders>
              <w:bottom w:val="single" w:sz="12" w:space="0" w:color="000000"/>
            </w:tcBorders>
            <w:tcMar>
              <w:bottom w:w="28" w:type="dxa"/>
            </w:tcMar>
            <w:vAlign w:val="center"/>
          </w:tcPr>
          <w:p>
            <w:pPr>
              <w:pStyle w:val="TableContents"/>
              <w:bidi w:val="0"/>
              <w:spacing w:before="0" w:after="283"/>
              <w:jc w:val="left"/>
              <w:rPr/>
            </w:pPr>
            <w:r>
              <w:rPr>
                <w:spacing w:val="0"/>
              </w:rPr>
              <w:t>46,382</w:t>
            </w: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70" w:type="dxa"/>
            <w:tcBorders>
              <w:bottom w:val="single" w:sz="12" w:space="0" w:color="000000"/>
            </w:tcBorders>
            <w:tcMar>
              <w:bottom w:w="28" w:type="dxa"/>
            </w:tcMar>
            <w:vAlign w:val="center"/>
          </w:tcPr>
          <w:p>
            <w:pPr>
              <w:pStyle w:val="TableContents"/>
              <w:bidi w:val="0"/>
              <w:spacing w:before="0" w:after="283"/>
              <w:jc w:val="left"/>
              <w:rPr>
                <w:spacing w:val="0"/>
              </w:rPr>
            </w:pPr>
            <w:r>
              <w:rPr>
                <w:spacing w:val="0"/>
              </w:rPr>
              <w:t>62,344</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Netting adjustments represent the amounts recorded to convert derivative assets and liabilities from a gross basis to a net basis in accordance with the applicable accounting guidance on the settle to market rules for cleared derivatives. The CME legally characterizes the variation margin posted between counterparties as settlements of the outstanding derivative contracts instead of cash collateral.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46685"/>
                <wp:effectExtent l="0" t="0" r="0" b="0"/>
                <wp:wrapSquare wrapText="right"/>
                <wp:docPr id="5" name="Frame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Cash collateral represents the amount that cannot be used to offset our derivative assets and liabilities from a gross basis to a net basis in accordance with the applicable accounting guidance. The other collateral consists of securities and is exchanged under bilateral collateral and master netting agreements that allow us to offset the net derivative position with the related collateral. The application of the other collateral cannot reduce the net derivative position below zero. Therefore, excess other collateral, if any, is not reflected above.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46685"/>
                <wp:effectExtent l="0" t="0" r="0" b="0"/>
                <wp:wrapSquare wrapText="right"/>
                <wp:docPr id="6" name="Frame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(2)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(2) </w:t>
                      </w:r>
                    </w:p>
                  </w:txbxContent>
                </v:textbox>
                <w10:wrap type="square" side="right"/>
              </v:rect>
            </w:pict>
          </mc:Fallback>
        </mc:AlternateContent>
      </w:r>
    </w:p>
    <w:p>
      <w:pPr>
        <w:pStyle w:val="TextBody"/>
        <w:bidi w:val="0"/>
        <w:spacing w:before="0" w:after="0"/>
        <w:ind w:left="27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indicates the gain or loss recognized in income on derivatives not designated as hedging instruments: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451"/>
        <w:gridCol w:w="193"/>
        <w:gridCol w:w="381"/>
        <w:gridCol w:w="526"/>
        <w:gridCol w:w="397"/>
        <w:gridCol w:w="193"/>
        <w:gridCol w:w="381"/>
        <w:gridCol w:w="526"/>
        <w:gridCol w:w="397"/>
        <w:gridCol w:w="186"/>
        <w:gridCol w:w="360"/>
        <w:gridCol w:w="599"/>
        <w:gridCol w:w="186"/>
        <w:gridCol w:w="186"/>
        <w:gridCol w:w="360"/>
        <w:gridCol w:w="599"/>
        <w:gridCol w:w="284"/>
      </w:tblGrid>
      <w:tr>
        <w:trPr/>
        <w:tc>
          <w:tcPr>
            <w:tcW w:w="4451"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4451" w:type="dxa"/>
            <w:tcBorders/>
            <w:vAlign w:val="center"/>
          </w:tcPr>
          <w:p>
            <w:pPr>
              <w:pStyle w:val="TableContents"/>
              <w:bidi w:val="0"/>
              <w:spacing w:before="0" w:after="283"/>
              <w:jc w:val="left"/>
              <w:rPr/>
            </w:pPr>
            <w:r>
              <w:rPr/>
              <w:t> </w:t>
            </w:r>
          </w:p>
        </w:tc>
        <w:tc>
          <w:tcPr>
            <w:tcW w:w="2994" w:type="dxa"/>
            <w:gridSpan w:val="8"/>
            <w:tcBorders>
              <w:bottom w:val="single" w:sz="12" w:space="0" w:color="000000"/>
            </w:tcBorders>
            <w:tcMar>
              <w:bottom w:w="28" w:type="dxa"/>
            </w:tcMar>
            <w:vAlign w:val="center"/>
          </w:tcPr>
          <w:p>
            <w:pPr>
              <w:pStyle w:val="TableContents"/>
              <w:bidi w:val="0"/>
              <w:spacing w:before="0" w:after="0"/>
              <w:jc w:val="center"/>
              <w:rPr/>
            </w:pPr>
            <w:r>
              <w:rPr>
                <w:b/>
              </w:rPr>
              <w:t>Three Months Ended June 30,</w:t>
            </w:r>
            <w:r>
              <w:rPr/>
              <w:t xml:space="preserve"> </w:t>
            </w:r>
          </w:p>
        </w:tc>
        <w:tc>
          <w:tcPr>
            <w:tcW w:w="2760" w:type="dxa"/>
            <w:gridSpan w:val="8"/>
            <w:tcBorders>
              <w:bottom w:val="single" w:sz="12" w:space="0" w:color="000000"/>
            </w:tcBorders>
            <w:tcMar>
              <w:bottom w:w="28" w:type="dxa"/>
            </w:tcMar>
            <w:vAlign w:val="center"/>
          </w:tcPr>
          <w:p>
            <w:pPr>
              <w:pStyle w:val="TableContents"/>
              <w:bidi w:val="0"/>
              <w:spacing w:before="0" w:after="0"/>
              <w:jc w:val="center"/>
              <w:rPr/>
            </w:pPr>
            <w:r>
              <w:rPr>
                <w:b/>
              </w:rPr>
              <w:t>Six Months Ended June 30,</w:t>
            </w:r>
            <w:r>
              <w:rPr/>
              <w:t xml:space="preserve"> </w:t>
            </w:r>
          </w:p>
        </w:tc>
      </w:tr>
      <w:tr>
        <w:trPr/>
        <w:tc>
          <w:tcPr>
            <w:tcW w:w="4451"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19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7"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397"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9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7"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397"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8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9" w:type="dxa"/>
            <w:gridSpan w:val="2"/>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8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9" w:type="dxa"/>
            <w:gridSpan w:val="2"/>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84"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451" w:type="dxa"/>
            <w:tcBorders/>
            <w:vAlign w:val="center"/>
          </w:tcPr>
          <w:p>
            <w:pPr>
              <w:pStyle w:val="TableContents"/>
              <w:bidi w:val="0"/>
              <w:spacing w:before="0" w:after="0"/>
              <w:ind w:left="0" w:right="0" w:hanging="144"/>
              <w:jc w:val="left"/>
              <w:rPr/>
            </w:pPr>
            <w:r>
              <w:rPr>
                <w:i/>
              </w:rPr>
              <w:t>Derivatives not designated as hedging instruments:</w:t>
            </w:r>
            <w:r>
              <w:rPr/>
              <w:t xml:space="preserve"> </w:t>
            </w:r>
          </w:p>
        </w:tc>
        <w:tc>
          <w:tcPr>
            <w:tcW w:w="193"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4451" w:type="dxa"/>
            <w:tcBorders/>
            <w:shd w:fill="CCEEFF" w:val="clear"/>
            <w:vAlign w:val="center"/>
          </w:tcPr>
          <w:p>
            <w:pPr>
              <w:pStyle w:val="TableContents"/>
              <w:bidi w:val="0"/>
              <w:spacing w:before="0" w:after="0"/>
              <w:jc w:val="left"/>
              <w:rPr/>
            </w:pPr>
            <w:r>
              <w:rPr/>
              <w:t xml:space="preserve">(Decrease) increase in other income </w:t>
            </w:r>
          </w:p>
        </w:tc>
        <w:tc>
          <w:tcPr>
            <w:tcW w:w="193"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b/>
              </w:rPr>
            </w:pPr>
            <w:r>
              <w:rPr>
                <w:b/>
              </w:rPr>
              <w:t>$</w:t>
            </w:r>
          </w:p>
        </w:tc>
        <w:tc>
          <w:tcPr>
            <w:tcW w:w="526" w:type="dxa"/>
            <w:tcBorders/>
            <w:shd w:fill="CCEEFF" w:val="clear"/>
            <w:vAlign w:val="center"/>
          </w:tcPr>
          <w:p>
            <w:pPr>
              <w:pStyle w:val="TableContents"/>
              <w:bidi w:val="0"/>
              <w:spacing w:before="0" w:after="283"/>
              <w:jc w:val="right"/>
              <w:rPr>
                <w:b/>
              </w:rPr>
            </w:pPr>
            <w:r>
              <w:rPr>
                <w:b/>
              </w:rPr>
              <w:t>(3</w:t>
            </w:r>
          </w:p>
        </w:tc>
        <w:tc>
          <w:tcPr>
            <w:tcW w:w="397" w:type="dxa"/>
            <w:tcBorders/>
            <w:shd w:fill="CCEEFF" w:val="clear"/>
            <w:vAlign w:val="center"/>
          </w:tcPr>
          <w:p>
            <w:pPr>
              <w:pStyle w:val="TableContents"/>
              <w:bidi w:val="0"/>
              <w:spacing w:before="0" w:after="283"/>
              <w:jc w:val="left"/>
              <w:rPr>
                <w:b/>
              </w:rPr>
            </w:pPr>
            <w:r>
              <w:rPr>
                <w:b/>
              </w:rPr>
              <w:t>) </w:t>
            </w:r>
          </w:p>
        </w:tc>
        <w:tc>
          <w:tcPr>
            <w:tcW w:w="193"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w:t>
            </w:r>
          </w:p>
        </w:tc>
        <w:tc>
          <w:tcPr>
            <w:tcW w:w="526" w:type="dxa"/>
            <w:tcBorders/>
            <w:shd w:fill="CCEEFF" w:val="clear"/>
            <w:vAlign w:val="center"/>
          </w:tcPr>
          <w:p>
            <w:pPr>
              <w:pStyle w:val="TableContents"/>
              <w:bidi w:val="0"/>
              <w:spacing w:before="0" w:after="283"/>
              <w:jc w:val="right"/>
              <w:rPr/>
            </w:pPr>
            <w:r>
              <w:rPr/>
              <w:t>(4</w:t>
            </w:r>
          </w:p>
        </w:tc>
        <w:tc>
          <w:tcPr>
            <w:tcW w:w="397"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b/>
              </w:rPr>
            </w:pPr>
            <w:r>
              <w:rPr>
                <w:b/>
              </w:rPr>
              <w:t>$</w:t>
            </w:r>
          </w:p>
        </w:tc>
        <w:tc>
          <w:tcPr>
            <w:tcW w:w="599" w:type="dxa"/>
            <w:tcBorders/>
            <w:shd w:fill="CCEEFF" w:val="clear"/>
            <w:vAlign w:val="center"/>
          </w:tcPr>
          <w:p>
            <w:pPr>
              <w:pStyle w:val="TableContents"/>
              <w:bidi w:val="0"/>
              <w:spacing w:before="0" w:after="283"/>
              <w:jc w:val="right"/>
              <w:rPr>
                <w:b/>
              </w:rPr>
            </w:pPr>
            <w:r>
              <w:rPr>
                <w:b/>
              </w:rPr>
              <w:t>31</w:t>
            </w:r>
          </w:p>
        </w:tc>
        <w:tc>
          <w:tcPr>
            <w:tcW w:w="18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17</w:t>
            </w:r>
          </w:p>
        </w:tc>
        <w:tc>
          <w:tcPr>
            <w:tcW w:w="28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13. Fair Value Measurements and Fair Value of Financial Instruments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GAAP states that fair value is an exit price, representing the amount that would be received to sell an asset or paid to transfer a liability in an orderly transaction between market participants. Fair value measurements are not adjusted for transaction costs. A fair value hierarchy exists within GAAP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Level 1 - Unadjusted quoted prices in active markets that are accessible at the measurement date for identical, unrestricted assets or liabilities;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Level 2 - Quoted prices for similar assets or liabilities in active markets, quoted prices in markets that are not active or inputs that are observable, either directly or indirectly, for substantially the full term of the asset or liability; and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Level 3 - Prices or valuation techniques that require inputs that are both significant to the fair value measurement and unobservable (i.e., supported by little or no market activity).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 financial instrument’s level within the fair value hierarchy is based on the lowest level of input that is significant to the fair value measurement.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types of instruments valued based on quoted market prices in active markets include most U.S. government and agency securities, many other sovereign government obligations, liquid mortgage products, active listed equities and most money market securities. Such instruments are generally classified within Level 1 or Level 2 of the fair value hierarchy. The Company does not adjust the quoted prices for such instruments.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types of instruments valued based on quoted prices in markets that are not active, broker or dealer quotations or quotes from alternative pricing sources with reasonable levels of price transparency include most investment-grade and high-yield corporate bonds, less liquid mortgage products, less liquid agency securities, less liquid listed equities, state, municipal and provincial obligations and certain physical commodities. Such instruments are generally classified within Level 2 of the fair value hierarchy. Certain common equity securities are reported at fair value utilizing Level 1 inputs (exchange quoted prices). Other investment securities are reported at fair value utilizing Level 1 and Level 2 inputs. The prices for Level 2 instruments are obtained through an independent pricing service or dealer market participants with whom the Company has historically transacted both purchases and sales of investment securities. Prices obtained from these sources include prices derived from market quotations and matrix pricing. The fair value measurements consider observable data that may include dealer quotes, market spreads, cash flows, the U.S. Treasury yield curve, live trading levels, trade execution data, market consensus prepayment speeds, credit information and the bond’s terms and conditions, among other factors. Management reviews the methodologies used by its third-party providers in pricing the securities.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Level 3 is for positions that are not traded in active markets or are subject to transfer restrictions. Valuations are adjusted to reflect illiquidity and/or non-transferability and such adjustments are generally based on available market evidence. In the absence of such evidence, management’s best estimate will be used. Management’s best estimate consists of both internal and external support on certain Level 3 investments. Subsequent to inception, management only changes Level 3 inputs and assumptions when corroborated by evidence such as transactions in similar instruments, completed or pending third-party transactions in the underlying investment or comparable entities, subsequent rounds of financing, recapitalizations and other transactions across the capital structure, offerings in the equity or debt markets and changes in financial ratios or cash flows.</w: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set forth the Company’s financial assets and liabilities measured on a recurring basis that were accounted for at fair value. Assets and liabilities are classified in their entirety based on the lowest level of input that is significant to the fair value measurement: </w:t>
      </w:r>
    </w:p>
    <w:p>
      <w:pPr>
        <w:pStyle w:val="TextBody"/>
        <w:bidi w:val="0"/>
        <w:spacing w:before="0" w:after="0"/>
        <w:jc w:val="both"/>
        <w:rPr/>
      </w:pPr>
      <w:r>
        <w:rPr/>
        <w:t xml:space="preserve">  </w:t>
      </w:r>
    </w:p>
    <w:tbl>
      <w:tblPr>
        <w:tblW w:w="8763" w:type="dxa"/>
        <w:jc w:val="left"/>
        <w:tblInd w:w="0" w:type="dxa"/>
        <w:tblLayout w:type="fixed"/>
        <w:tblCellMar>
          <w:top w:w="0" w:type="dxa"/>
          <w:left w:w="0" w:type="dxa"/>
          <w:bottom w:w="0" w:type="dxa"/>
          <w:right w:w="0" w:type="dxa"/>
        </w:tblCellMar>
      </w:tblPr>
      <w:tblGrid>
        <w:gridCol w:w="3470"/>
        <w:gridCol w:w="90"/>
        <w:gridCol w:w="170"/>
        <w:gridCol w:w="830"/>
        <w:gridCol w:w="90"/>
        <w:gridCol w:w="90"/>
        <w:gridCol w:w="170"/>
        <w:gridCol w:w="1010"/>
        <w:gridCol w:w="90"/>
        <w:gridCol w:w="90"/>
        <w:gridCol w:w="486"/>
        <w:gridCol w:w="358"/>
        <w:gridCol w:w="90"/>
        <w:gridCol w:w="90"/>
        <w:gridCol w:w="216"/>
        <w:gridCol w:w="1288"/>
        <w:gridCol w:w="135"/>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Level 1</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Level 2</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pPr>
            <w:r>
              <w:rPr>
                <w:b/>
              </w:rPr>
              <w:t>Level 3</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0"/>
              <w:ind w:left="0" w:right="0" w:hanging="144"/>
              <w:jc w:val="left"/>
              <w:rPr/>
            </w:pPr>
            <w:r>
              <w:rPr/>
              <w:t xml:space="preserve">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AFS securities: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U.S. treasury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101,758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b/>
              </w:rPr>
            </w:pPr>
            <w:r>
              <w:rPr>
                <w:b/>
              </w:rPr>
              <w:t>$</w:t>
            </w:r>
          </w:p>
        </w:tc>
        <w:tc>
          <w:tcPr>
            <w:tcW w:w="358"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1288" w:type="dxa"/>
            <w:tcBorders/>
            <w:shd w:fill="CCEEFF" w:val="clear"/>
            <w:vAlign w:val="center"/>
          </w:tcPr>
          <w:p>
            <w:pPr>
              <w:pStyle w:val="TableContents"/>
              <w:bidi w:val="0"/>
              <w:spacing w:before="0" w:after="283"/>
              <w:jc w:val="right"/>
              <w:rPr>
                <w:b/>
              </w:rPr>
            </w:pPr>
            <w:r>
              <w:rPr>
                <w:b/>
              </w:rPr>
              <w:t>101,758</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Federal agency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231,129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b/>
              </w:rPr>
            </w:pPr>
            <w:r>
              <w:rPr>
                <w:b/>
              </w:rPr>
              <w:t>231,129</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State &amp; municipal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81,122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1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b/>
              </w:rPr>
            </w:pPr>
            <w:r>
              <w:rPr>
                <w:b/>
              </w:rPr>
              <w:t>81,122</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Mortgage-backed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734,835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b/>
              </w:rPr>
            </w:pPr>
            <w:r>
              <w:rPr>
                <w:b/>
              </w:rPr>
              <w:t>734,835</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Collateralized mortgage obligations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835,648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1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b/>
              </w:rPr>
            </w:pPr>
            <w:r>
              <w:rPr>
                <w:b/>
              </w:rPr>
              <w:t>835,648</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t xml:space="preserve">Corporate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21,714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486" w:type="dxa"/>
            <w:tcBorders>
              <w:bottom w:val="single" w:sz="12" w:space="0" w:color="000000"/>
            </w:tcBorders>
            <w:tcMar>
              <w:bottom w:w="28" w:type="dxa"/>
            </w:tcMar>
            <w:vAlign w:val="center"/>
          </w:tcPr>
          <w:p>
            <w:pPr>
              <w:pStyle w:val="TableContents"/>
              <w:bidi w:val="0"/>
              <w:spacing w:before="0" w:after="283"/>
              <w:jc w:val="left"/>
              <w:rPr/>
            </w:pPr>
            <w:r>
              <w:rPr/>
              <w:t> </w:t>
            </w:r>
          </w:p>
        </w:tc>
        <w:tc>
          <w:tcPr>
            <w:tcW w:w="358"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tcMar>
              <w:bottom w:w="28" w:type="dxa"/>
            </w:tcMar>
            <w:vAlign w:val="center"/>
          </w:tcPr>
          <w:p>
            <w:pPr>
              <w:pStyle w:val="TableContents"/>
              <w:bidi w:val="0"/>
              <w:spacing w:before="0" w:after="283"/>
              <w:jc w:val="right"/>
              <w:rPr>
                <w:b/>
              </w:rPr>
            </w:pPr>
            <w:r>
              <w:rPr>
                <w:b/>
              </w:rPr>
              <w:t>21,714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Total AFS securities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101,758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1,904,448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b/>
              </w:rPr>
            </w:pPr>
            <w:r>
              <w:rPr>
                <w:b/>
              </w:rPr>
              <w:t>$</w:t>
            </w:r>
          </w:p>
        </w:tc>
        <w:tc>
          <w:tcPr>
            <w:tcW w:w="358" w:type="dxa"/>
            <w:tcBorders/>
            <w:shd w:fill="CCEEFF" w:val="clear"/>
            <w:vAlign w:val="center"/>
          </w:tcPr>
          <w:p>
            <w:pPr>
              <w:pStyle w:val="TableContents"/>
              <w:bidi w:val="0"/>
              <w:spacing w:before="0" w:after="283"/>
              <w:jc w:val="right"/>
              <w:rPr>
                <w:b/>
              </w:rPr>
            </w:pPr>
            <w:r>
              <w:rPr>
                <w:b/>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1288" w:type="dxa"/>
            <w:tcBorders/>
            <w:shd w:fill="CCEEFF" w:val="clear"/>
            <w:vAlign w:val="center"/>
          </w:tcPr>
          <w:p>
            <w:pPr>
              <w:pStyle w:val="TableContents"/>
              <w:bidi w:val="0"/>
              <w:spacing w:before="0" w:after="283"/>
              <w:jc w:val="right"/>
              <w:rPr>
                <w:b/>
              </w:rPr>
            </w:pPr>
            <w:r>
              <w:rPr>
                <w:b/>
              </w:rPr>
              <w:t>2,006,206</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Equity securities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49,732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b/>
              </w:rPr>
            </w:pPr>
            <w:r>
              <w:rPr>
                <w:b/>
              </w:rPr>
              <w:t>50,732</w:t>
            </w:r>
          </w:p>
        </w:tc>
        <w:tc>
          <w:tcPr>
            <w:tcW w:w="135"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Derivatives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54,699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54,699</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470" w:type="dxa"/>
            <w:tcBorders>
              <w:bottom w:val="double" w:sz="8" w:space="0" w:color="000000"/>
            </w:tcBorders>
            <w:tcMar>
              <w:bottom w:w="28" w:type="dxa"/>
            </w:tcMar>
            <w:vAlign w:val="center"/>
          </w:tcPr>
          <w:p>
            <w:pPr>
              <w:pStyle w:val="TableContents"/>
              <w:bidi w:val="0"/>
              <w:spacing w:before="0" w:after="0"/>
              <w:jc w:val="left"/>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tcMar>
              <w:bottom w:w="28" w:type="dxa"/>
            </w:tcMar>
            <w:vAlign w:val="center"/>
          </w:tcPr>
          <w:p>
            <w:pPr>
              <w:pStyle w:val="TableContents"/>
              <w:bidi w:val="0"/>
              <w:spacing w:before="0" w:after="283"/>
              <w:jc w:val="right"/>
              <w:rPr>
                <w:b/>
              </w:rPr>
            </w:pPr>
            <w:r>
              <w:rPr>
                <w:b/>
              </w:rPr>
              <w:t>151,490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tcMar>
              <w:bottom w:w="28" w:type="dxa"/>
            </w:tcMar>
            <w:vAlign w:val="center"/>
          </w:tcPr>
          <w:p>
            <w:pPr>
              <w:pStyle w:val="TableContents"/>
              <w:bidi w:val="0"/>
              <w:spacing w:before="0" w:after="283"/>
              <w:jc w:val="right"/>
              <w:rPr>
                <w:b/>
              </w:rPr>
            </w:pPr>
            <w:r>
              <w:rPr>
                <w:b/>
              </w:rPr>
              <w:t>1,960,147</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486"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358" w:type="dxa"/>
            <w:tcBorders>
              <w:bottom w:val="double" w:sz="8"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216"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288" w:type="dxa"/>
            <w:tcBorders>
              <w:bottom w:val="double" w:sz="8" w:space="0" w:color="000000"/>
            </w:tcBorders>
            <w:tcMar>
              <w:bottom w:w="28" w:type="dxa"/>
            </w:tcMar>
            <w:vAlign w:val="center"/>
          </w:tcPr>
          <w:p>
            <w:pPr>
              <w:pStyle w:val="TableContents"/>
              <w:bidi w:val="0"/>
              <w:spacing w:before="0" w:after="283"/>
              <w:jc w:val="right"/>
              <w:rPr>
                <w:b/>
              </w:rPr>
            </w:pPr>
            <w:r>
              <w:rPr>
                <w:b/>
              </w:rPr>
              <w:t>2,111,637</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Liabilities: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83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both"/>
              <w:rPr/>
            </w:pPr>
            <w:r>
              <w:rPr/>
              <w:t> </w:t>
            </w:r>
          </w:p>
        </w:tc>
        <w:tc>
          <w:tcPr>
            <w:tcW w:w="35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216" w:type="dxa"/>
            <w:tcBorders/>
            <w:shd w:fill="CCEEFF" w:val="clear"/>
            <w:vAlign w:val="center"/>
          </w:tcPr>
          <w:p>
            <w:pPr>
              <w:pStyle w:val="TableContents"/>
              <w:bidi w:val="0"/>
              <w:spacing w:before="0" w:after="283"/>
              <w:jc w:val="both"/>
              <w:rPr/>
            </w:pPr>
            <w:r>
              <w:rPr/>
              <w:t> </w:t>
            </w:r>
          </w:p>
        </w:tc>
        <w:tc>
          <w:tcPr>
            <w:tcW w:w="1288" w:type="dxa"/>
            <w:tcBorders/>
            <w:shd w:fill="CCEEFF" w:val="clear"/>
            <w:vAlign w:val="center"/>
          </w:tcPr>
          <w:p>
            <w:pPr>
              <w:pStyle w:val="TableContents"/>
              <w:bidi w:val="0"/>
              <w:spacing w:before="0" w:after="283"/>
              <w:jc w:val="both"/>
              <w:rPr/>
            </w:pPr>
            <w:r>
              <w:rPr/>
              <w:t> </w:t>
            </w:r>
          </w:p>
        </w:tc>
        <w:tc>
          <w:tcPr>
            <w:tcW w:w="135" w:type="dxa"/>
            <w:tcBorders/>
            <w:shd w:fill="CCEEFF" w:val="clear"/>
            <w:vAlign w:val="center"/>
          </w:tcPr>
          <w:p>
            <w:pPr>
              <w:pStyle w:val="TableContents"/>
              <w:bidi w:val="0"/>
              <w:spacing w:before="0" w:after="283"/>
              <w:jc w:val="both"/>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t xml:space="preserve">Derivatives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12" w:space="0" w:color="000000"/>
            </w:tcBorders>
            <w:tcMar>
              <w:bottom w:w="28" w:type="dxa"/>
            </w:tcMar>
            <w:vAlign w:val="center"/>
          </w:tcPr>
          <w:p>
            <w:pPr>
              <w:pStyle w:val="TableContents"/>
              <w:bidi w:val="0"/>
              <w:spacing w:before="0" w:after="283"/>
              <w:jc w:val="right"/>
              <w:rPr>
                <w:b/>
              </w:rPr>
            </w:pPr>
            <w:r>
              <w:rPr>
                <w:b/>
              </w:rPr>
              <w:t>72,053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486"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358"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88" w:type="dxa"/>
            <w:tcBorders>
              <w:bottom w:val="single" w:sz="12" w:space="0" w:color="000000"/>
            </w:tcBorders>
            <w:tcMar>
              <w:bottom w:w="28" w:type="dxa"/>
            </w:tcMar>
            <w:vAlign w:val="center"/>
          </w:tcPr>
          <w:p>
            <w:pPr>
              <w:pStyle w:val="TableContents"/>
              <w:bidi w:val="0"/>
              <w:spacing w:before="0" w:after="283"/>
              <w:jc w:val="right"/>
              <w:rPr>
                <w:b/>
              </w:rPr>
            </w:pPr>
            <w:r>
              <w:rPr>
                <w:b/>
              </w:rPr>
              <w:t>72,053</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72,053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48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21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8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72,053</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9303" w:type="dxa"/>
        <w:jc w:val="left"/>
        <w:tblInd w:w="0" w:type="dxa"/>
        <w:tblLayout w:type="fixed"/>
        <w:tblCellMar>
          <w:top w:w="0" w:type="dxa"/>
          <w:left w:w="0" w:type="dxa"/>
          <w:bottom w:w="0" w:type="dxa"/>
          <w:right w:w="0" w:type="dxa"/>
        </w:tblCellMar>
      </w:tblPr>
      <w:tblGrid>
        <w:gridCol w:w="3470"/>
        <w:gridCol w:w="90"/>
        <w:gridCol w:w="170"/>
        <w:gridCol w:w="830"/>
        <w:gridCol w:w="90"/>
        <w:gridCol w:w="90"/>
        <w:gridCol w:w="170"/>
        <w:gridCol w:w="1010"/>
        <w:gridCol w:w="90"/>
        <w:gridCol w:w="90"/>
        <w:gridCol w:w="486"/>
        <w:gridCol w:w="358"/>
        <w:gridCol w:w="90"/>
        <w:gridCol w:w="90"/>
        <w:gridCol w:w="294"/>
        <w:gridCol w:w="1750"/>
        <w:gridCol w:w="135"/>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Level 1</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b/>
              </w:rPr>
              <w:t>Level 2</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pPr>
            <w:r>
              <w:rPr>
                <w:b/>
              </w:rPr>
              <w:t>Level 3</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0"/>
              <w:ind w:left="0" w:right="0" w:hanging="144"/>
              <w:jc w:val="left"/>
              <w:rPr/>
            </w:pPr>
            <w:r>
              <w:rPr/>
              <w:t xml:space="preserve">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AFS securities: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U.S. treasury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76,822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pPr>
            <w:r>
              <w:rPr/>
              <w:t>$</w:t>
            </w:r>
          </w:p>
        </w:tc>
        <w:tc>
          <w:tcPr>
            <w:tcW w:w="35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94" w:type="dxa"/>
            <w:tcBorders/>
            <w:shd w:fill="CCEEFF" w:val="clear"/>
            <w:vAlign w:val="center"/>
          </w:tcPr>
          <w:p>
            <w:pPr>
              <w:pStyle w:val="TableContents"/>
              <w:bidi w:val="0"/>
              <w:spacing w:before="0" w:after="283"/>
              <w:jc w:val="left"/>
              <w:rPr/>
            </w:pPr>
            <w:r>
              <w:rPr/>
              <w:t>$</w:t>
            </w:r>
          </w:p>
        </w:tc>
        <w:tc>
          <w:tcPr>
            <w:tcW w:w="1750" w:type="dxa"/>
            <w:tcBorders/>
            <w:shd w:fill="CCEEFF" w:val="clear"/>
            <w:vAlign w:val="center"/>
          </w:tcPr>
          <w:p>
            <w:pPr>
              <w:pStyle w:val="TableContents"/>
              <w:bidi w:val="0"/>
              <w:spacing w:before="0" w:after="283"/>
              <w:jc w:val="right"/>
              <w:rPr/>
            </w:pPr>
            <w:r>
              <w:rPr/>
              <w:t>76,822</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Federal agency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231,276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294"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231,276</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State &amp; municipal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86,727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94"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86,727</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Mortgage-backed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591,562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294"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591,562</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Collateralized mortgage obligations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855,486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94"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855,486</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t xml:space="preserve">Corporate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20,965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486" w:type="dxa"/>
            <w:tcBorders>
              <w:bottom w:val="single" w:sz="12" w:space="0" w:color="000000"/>
            </w:tcBorders>
            <w:tcMar>
              <w:bottom w:w="28" w:type="dxa"/>
            </w:tcMar>
            <w:vAlign w:val="center"/>
          </w:tcPr>
          <w:p>
            <w:pPr>
              <w:pStyle w:val="TableContents"/>
              <w:bidi w:val="0"/>
              <w:spacing w:before="0" w:after="283"/>
              <w:jc w:val="left"/>
              <w:rPr/>
            </w:pPr>
            <w:r>
              <w:rPr/>
              <w:t> </w:t>
            </w:r>
          </w:p>
        </w:tc>
        <w:tc>
          <w:tcPr>
            <w:tcW w:w="358"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2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tcMar>
              <w:bottom w:w="28" w:type="dxa"/>
            </w:tcMar>
            <w:vAlign w:val="center"/>
          </w:tcPr>
          <w:p>
            <w:pPr>
              <w:pStyle w:val="TableContents"/>
              <w:bidi w:val="0"/>
              <w:spacing w:before="0" w:after="283"/>
              <w:jc w:val="right"/>
              <w:rPr/>
            </w:pPr>
            <w:r>
              <w:rPr/>
              <w:t>20,965</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pPr>
            <w:r>
              <w:rPr/>
              <w:t xml:space="preserve">Total AFS securities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76,822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1,786,016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left"/>
              <w:rPr/>
            </w:pPr>
            <w:r>
              <w:rPr/>
              <w:t>$</w:t>
            </w:r>
          </w:p>
        </w:tc>
        <w:tc>
          <w:tcPr>
            <w:tcW w:w="35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294" w:type="dxa"/>
            <w:tcBorders/>
            <w:shd w:fill="CCEEFF" w:val="clear"/>
            <w:vAlign w:val="center"/>
          </w:tcPr>
          <w:p>
            <w:pPr>
              <w:pStyle w:val="TableContents"/>
              <w:bidi w:val="0"/>
              <w:spacing w:before="0" w:after="283"/>
              <w:jc w:val="left"/>
              <w:rPr/>
            </w:pPr>
            <w:r>
              <w:rPr/>
              <w:t>$</w:t>
            </w:r>
          </w:p>
        </w:tc>
        <w:tc>
          <w:tcPr>
            <w:tcW w:w="1750" w:type="dxa"/>
            <w:tcBorders/>
            <w:shd w:fill="CCEEFF" w:val="clear"/>
            <w:vAlign w:val="center"/>
          </w:tcPr>
          <w:p>
            <w:pPr>
              <w:pStyle w:val="TableContents"/>
              <w:bidi w:val="0"/>
              <w:spacing w:before="0" w:after="283"/>
              <w:jc w:val="right"/>
              <w:rPr/>
            </w:pPr>
            <w:r>
              <w:rPr/>
              <w:t>1,862,838</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pPr>
            <w:r>
              <w:rPr/>
              <w:t xml:space="preserve">Equity securities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47,760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486"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294"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48,760</w:t>
            </w:r>
          </w:p>
        </w:tc>
        <w:tc>
          <w:tcPr>
            <w:tcW w:w="135"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Derivatives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52,104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58"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2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CCEEFF" w:val="clear"/>
            <w:tcMar>
              <w:bottom w:w="28" w:type="dxa"/>
            </w:tcMar>
            <w:vAlign w:val="center"/>
          </w:tcPr>
          <w:p>
            <w:pPr>
              <w:pStyle w:val="TableContents"/>
              <w:bidi w:val="0"/>
              <w:spacing w:before="0" w:after="283"/>
              <w:jc w:val="right"/>
              <w:rPr/>
            </w:pPr>
            <w:r>
              <w:rPr/>
              <w:t>52,104</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470" w:type="dxa"/>
            <w:tcBorders>
              <w:bottom w:val="double" w:sz="8" w:space="0" w:color="000000"/>
            </w:tcBorders>
            <w:tcMar>
              <w:bottom w:w="28" w:type="dxa"/>
            </w:tcMar>
            <w:vAlign w:val="center"/>
          </w:tcPr>
          <w:p>
            <w:pPr>
              <w:pStyle w:val="TableContents"/>
              <w:bidi w:val="0"/>
              <w:spacing w:before="0" w:after="0"/>
              <w:jc w:val="left"/>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124,582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1010" w:type="dxa"/>
            <w:tcBorders>
              <w:bottom w:val="double" w:sz="8" w:space="0" w:color="000000"/>
            </w:tcBorders>
            <w:tcMar>
              <w:bottom w:w="28" w:type="dxa"/>
            </w:tcMar>
            <w:vAlign w:val="center"/>
          </w:tcPr>
          <w:p>
            <w:pPr>
              <w:pStyle w:val="TableContents"/>
              <w:bidi w:val="0"/>
              <w:spacing w:before="0" w:after="283"/>
              <w:jc w:val="right"/>
              <w:rPr/>
            </w:pPr>
            <w:r>
              <w:rPr/>
              <w:t>1,839,120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486" w:type="dxa"/>
            <w:tcBorders>
              <w:bottom w:val="double" w:sz="8" w:space="0" w:color="000000"/>
            </w:tcBorders>
            <w:tcMar>
              <w:bottom w:w="28" w:type="dxa"/>
            </w:tcMar>
            <w:vAlign w:val="center"/>
          </w:tcPr>
          <w:p>
            <w:pPr>
              <w:pStyle w:val="TableContents"/>
              <w:bidi w:val="0"/>
              <w:spacing w:before="0" w:after="283"/>
              <w:jc w:val="left"/>
              <w:rPr/>
            </w:pPr>
            <w:r>
              <w:rPr/>
              <w:t>$</w:t>
            </w:r>
          </w:p>
        </w:tc>
        <w:tc>
          <w:tcPr>
            <w:tcW w:w="358" w:type="dxa"/>
            <w:tcBorders>
              <w:bottom w:val="double" w:sz="8"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both"/>
              <w:rPr/>
            </w:pPr>
            <w:r>
              <w:rPr/>
              <w:t> </w:t>
            </w:r>
          </w:p>
        </w:tc>
        <w:tc>
          <w:tcPr>
            <w:tcW w:w="294" w:type="dxa"/>
            <w:tcBorders>
              <w:bottom w:val="double" w:sz="8" w:space="0" w:color="000000"/>
            </w:tcBorders>
            <w:tcMar>
              <w:bottom w:w="28" w:type="dxa"/>
            </w:tcMar>
            <w:vAlign w:val="center"/>
          </w:tcPr>
          <w:p>
            <w:pPr>
              <w:pStyle w:val="TableContents"/>
              <w:bidi w:val="0"/>
              <w:spacing w:before="0" w:after="283"/>
              <w:jc w:val="left"/>
              <w:rPr/>
            </w:pPr>
            <w:r>
              <w:rPr/>
              <w:t>$</w:t>
            </w:r>
          </w:p>
        </w:tc>
        <w:tc>
          <w:tcPr>
            <w:tcW w:w="1750" w:type="dxa"/>
            <w:tcBorders>
              <w:bottom w:val="double" w:sz="8" w:space="0" w:color="000000"/>
            </w:tcBorders>
            <w:tcMar>
              <w:bottom w:w="28" w:type="dxa"/>
            </w:tcMar>
            <w:vAlign w:val="center"/>
          </w:tcPr>
          <w:p>
            <w:pPr>
              <w:pStyle w:val="TableContents"/>
              <w:bidi w:val="0"/>
              <w:spacing w:before="0" w:after="283"/>
              <w:jc w:val="right"/>
              <w:rPr/>
            </w:pPr>
            <w:r>
              <w:rPr/>
              <w:t>1,963,702</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Liabilities: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83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486" w:type="dxa"/>
            <w:tcBorders/>
            <w:shd w:fill="CCEEFF" w:val="clear"/>
            <w:vAlign w:val="center"/>
          </w:tcPr>
          <w:p>
            <w:pPr>
              <w:pStyle w:val="TableContents"/>
              <w:bidi w:val="0"/>
              <w:spacing w:before="0" w:after="283"/>
              <w:jc w:val="both"/>
              <w:rPr/>
            </w:pPr>
            <w:r>
              <w:rPr/>
              <w:t> </w:t>
            </w:r>
          </w:p>
        </w:tc>
        <w:tc>
          <w:tcPr>
            <w:tcW w:w="35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294" w:type="dxa"/>
            <w:tcBorders/>
            <w:shd w:fill="CCEEFF" w:val="clear"/>
            <w:vAlign w:val="center"/>
          </w:tcPr>
          <w:p>
            <w:pPr>
              <w:pStyle w:val="TableContents"/>
              <w:bidi w:val="0"/>
              <w:spacing w:before="0" w:after="283"/>
              <w:jc w:val="both"/>
              <w:rPr/>
            </w:pPr>
            <w:r>
              <w:rPr/>
              <w:t> </w:t>
            </w:r>
          </w:p>
        </w:tc>
        <w:tc>
          <w:tcPr>
            <w:tcW w:w="1750" w:type="dxa"/>
            <w:tcBorders/>
            <w:shd w:fill="CCEEFF" w:val="clear"/>
            <w:vAlign w:val="center"/>
          </w:tcPr>
          <w:p>
            <w:pPr>
              <w:pStyle w:val="TableContents"/>
              <w:bidi w:val="0"/>
              <w:spacing w:before="0" w:after="283"/>
              <w:jc w:val="both"/>
              <w:rPr/>
            </w:pPr>
            <w:r>
              <w:rPr/>
              <w:t> </w:t>
            </w:r>
          </w:p>
        </w:tc>
        <w:tc>
          <w:tcPr>
            <w:tcW w:w="135" w:type="dxa"/>
            <w:tcBorders/>
            <w:shd w:fill="CCEEFF" w:val="clear"/>
            <w:vAlign w:val="center"/>
          </w:tcPr>
          <w:p>
            <w:pPr>
              <w:pStyle w:val="TableContents"/>
              <w:bidi w:val="0"/>
              <w:spacing w:before="0" w:after="283"/>
              <w:jc w:val="both"/>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t xml:space="preserve">Derivatives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68,066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486" w:type="dxa"/>
            <w:tcBorders>
              <w:bottom w:val="single" w:sz="12" w:space="0" w:color="000000"/>
            </w:tcBorders>
            <w:tcMar>
              <w:bottom w:w="28" w:type="dxa"/>
            </w:tcMar>
            <w:vAlign w:val="center"/>
          </w:tcPr>
          <w:p>
            <w:pPr>
              <w:pStyle w:val="TableContents"/>
              <w:bidi w:val="0"/>
              <w:spacing w:before="0" w:after="283"/>
              <w:jc w:val="left"/>
              <w:rPr/>
            </w:pPr>
            <w:r>
              <w:rPr/>
              <w:t>$</w:t>
            </w:r>
          </w:p>
        </w:tc>
        <w:tc>
          <w:tcPr>
            <w:tcW w:w="358"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294" w:type="dxa"/>
            <w:tcBorders>
              <w:bottom w:val="single" w:sz="12" w:space="0" w:color="000000"/>
            </w:tcBorders>
            <w:tcMar>
              <w:bottom w:w="28" w:type="dxa"/>
            </w:tcMar>
            <w:vAlign w:val="center"/>
          </w:tcPr>
          <w:p>
            <w:pPr>
              <w:pStyle w:val="TableContents"/>
              <w:bidi w:val="0"/>
              <w:spacing w:before="0" w:after="283"/>
              <w:jc w:val="left"/>
              <w:rPr/>
            </w:pPr>
            <w:r>
              <w:rPr/>
              <w:t>$</w:t>
            </w:r>
          </w:p>
        </w:tc>
        <w:tc>
          <w:tcPr>
            <w:tcW w:w="1750" w:type="dxa"/>
            <w:tcBorders>
              <w:bottom w:val="single" w:sz="12" w:space="0" w:color="000000"/>
            </w:tcBorders>
            <w:tcMar>
              <w:bottom w:w="28" w:type="dxa"/>
            </w:tcMar>
            <w:vAlign w:val="center"/>
          </w:tcPr>
          <w:p>
            <w:pPr>
              <w:pStyle w:val="TableContents"/>
              <w:bidi w:val="0"/>
              <w:spacing w:before="0" w:after="283"/>
              <w:jc w:val="right"/>
              <w:rPr/>
            </w:pPr>
            <w:r>
              <w:rPr/>
              <w:t>68,066</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pPr>
            <w:r>
              <w:rPr/>
              <w:t>68,066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48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358" w:type="dxa"/>
            <w:tcBorders>
              <w:bottom w:val="double" w:sz="8"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both"/>
              <w:rPr/>
            </w:pPr>
            <w:r>
              <w:rPr/>
              <w:t> </w:t>
            </w:r>
          </w:p>
        </w:tc>
        <w:tc>
          <w:tcPr>
            <w:tcW w:w="294"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750" w:type="dxa"/>
            <w:tcBorders>
              <w:bottom w:val="double" w:sz="8" w:space="0" w:color="000000"/>
            </w:tcBorders>
            <w:shd w:fill="CCEEFF" w:val="clear"/>
            <w:tcMar>
              <w:bottom w:w="28" w:type="dxa"/>
            </w:tcMar>
            <w:vAlign w:val="center"/>
          </w:tcPr>
          <w:p>
            <w:pPr>
              <w:pStyle w:val="TableContents"/>
              <w:bidi w:val="0"/>
              <w:spacing w:before="0" w:after="283"/>
              <w:jc w:val="right"/>
              <w:rPr/>
            </w:pPr>
            <w:r>
              <w:rPr/>
              <w:t>68,066</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GAAP requires disclosure of assets and liabilities measured and recorded at fair value on a non-recurring basis such as goodwill, loans held for sale, other real estate owned, collateral-dependent loans individually evaluated for expected credit losses and HTM securities. As of June 30, 2026, the Company had collateral dependent individually evaluated loans with a carrying value of $31.8 million which were classified within Level 3 of the fair value hierarchy. Included in this amount were loans with fair value of $17.8 million where the amortized cost was adjusted to fair value. As of December 31, 2025, the Company had collateral dependent individually evaluated loans with a carrying value of $12.2 million which were classified within Level 3 of the fair value hierarchy. These loans with fair value of $12.2 million had their amortized cost adjusted to fair value. The Company uses the fair value of underlying collateral, less costs to sell, to estimate the allowance for credit losses for individually evaluated collateral dependent loans. The appraisals may be adjusted by management for qualitative factors such as economic conditions and estimated liquidation expenses ranging from 10% to 50%. Based on the valuation techniques used, the fair value measurements for collateral dependent individually evaluated loans are classified as Level 3.</w:t>
      </w:r>
    </w:p>
    <w:p>
      <w:pPr>
        <w:pStyle w:val="TextBody"/>
        <w:bidi w:val="0"/>
        <w:spacing w:before="0" w:after="0"/>
        <w:jc w:val="both"/>
        <w:rPr/>
      </w:pPr>
      <w:r>
        <w:rPr/>
        <w:t>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sets forth information with regard to estimated fair values of financial instruments. This table excludes financial instruments for which the carrying amount approximates fair value. Financial instruments for which the fair value approximates carrying value include cash and cash equivalents, AFS securities, equity securities, AIR, non-maturity deposits, short-term borrowings, accrued interest payable and derivatives. </w:t>
      </w:r>
    </w:p>
    <w:p>
      <w:pPr>
        <w:pStyle w:val="TextBody"/>
        <w:bidi w:val="0"/>
        <w:spacing w:before="0" w:after="0"/>
        <w:jc w:val="both"/>
        <w:rPr/>
      </w:pPr>
      <w:r>
        <w:rPr/>
        <w:t xml:space="preserve">  </w:t>
      </w:r>
    </w:p>
    <w:tbl>
      <w:tblPr>
        <w:tblW w:w="9739" w:type="dxa"/>
        <w:jc w:val="left"/>
        <w:tblInd w:w="0" w:type="dxa"/>
        <w:tblLayout w:type="fixed"/>
        <w:tblCellMar>
          <w:top w:w="0" w:type="dxa"/>
          <w:left w:w="0" w:type="dxa"/>
          <w:bottom w:w="0" w:type="dxa"/>
          <w:right w:w="0" w:type="dxa"/>
        </w:tblCellMar>
      </w:tblPr>
      <w:tblGrid>
        <w:gridCol w:w="2450"/>
        <w:gridCol w:w="90"/>
        <w:gridCol w:w="396"/>
        <w:gridCol w:w="748"/>
        <w:gridCol w:w="90"/>
        <w:gridCol w:w="90"/>
        <w:gridCol w:w="170"/>
        <w:gridCol w:w="1130"/>
        <w:gridCol w:w="90"/>
        <w:gridCol w:w="90"/>
        <w:gridCol w:w="170"/>
        <w:gridCol w:w="1130"/>
        <w:gridCol w:w="90"/>
        <w:gridCol w:w="90"/>
        <w:gridCol w:w="170"/>
        <w:gridCol w:w="1130"/>
        <w:gridCol w:w="90"/>
        <w:gridCol w:w="90"/>
        <w:gridCol w:w="170"/>
        <w:gridCol w:w="1130"/>
        <w:gridCol w:w="135"/>
      </w:tblGrid>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96" w:type="dxa"/>
            <w:tcBorders/>
            <w:vAlign w:val="center"/>
          </w:tcPr>
          <w:p>
            <w:pPr>
              <w:pStyle w:val="TableContents"/>
              <w:bidi w:val="0"/>
              <w:spacing w:before="0" w:after="283"/>
              <w:jc w:val="right"/>
              <w:rPr/>
            </w:pPr>
            <w:r>
              <w:rPr/>
              <w:t> </w:t>
            </w:r>
          </w:p>
        </w:tc>
        <w:tc>
          <w:tcPr>
            <w:tcW w:w="7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June 30, 2026</w:t>
            </w: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December 31, 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144" w:type="dxa"/>
            <w:gridSpan w:val="2"/>
            <w:tcBorders/>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00" w:type="dxa"/>
            <w:gridSpan w:val="2"/>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00" w:type="dxa"/>
            <w:gridSpan w:val="2"/>
            <w:tcBorders/>
            <w:vAlign w:val="center"/>
          </w:tcPr>
          <w:p>
            <w:pPr>
              <w:pStyle w:val="TableContents"/>
              <w:bidi w:val="0"/>
              <w:spacing w:before="0" w:after="283"/>
              <w:jc w:val="center"/>
              <w:rPr>
                <w:b/>
              </w:rPr>
            </w:pPr>
            <w:r>
              <w:rPr>
                <w:b/>
              </w:rPr>
              <w:t>Estimated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00" w:type="dxa"/>
            <w:gridSpan w:val="2"/>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00" w:type="dxa"/>
            <w:gridSpan w:val="2"/>
            <w:tcBorders/>
            <w:vAlign w:val="center"/>
          </w:tcPr>
          <w:p>
            <w:pPr>
              <w:pStyle w:val="TableContents"/>
              <w:bidi w:val="0"/>
              <w:spacing w:before="0" w:after="283"/>
              <w:jc w:val="center"/>
              <w:rPr>
                <w:b/>
              </w:rPr>
            </w:pPr>
            <w:r>
              <w:rPr>
                <w:b/>
              </w:rPr>
              <w:t>Estimated</w:t>
            </w:r>
          </w:p>
        </w:tc>
        <w:tc>
          <w:tcPr>
            <w:tcW w:w="135" w:type="dxa"/>
            <w:tcBorders/>
            <w:vAlign w:val="center"/>
          </w:tcPr>
          <w:p>
            <w:pPr>
              <w:pStyle w:val="TableContents"/>
              <w:bidi w:val="0"/>
              <w:spacing w:before="0" w:after="283"/>
              <w:jc w:val="left"/>
              <w:rPr/>
            </w:pPr>
            <w:r>
              <w:rPr/>
              <w:t> </w:t>
            </w:r>
          </w:p>
        </w:tc>
      </w:tr>
      <w:tr>
        <w:trPr/>
        <w:tc>
          <w:tcPr>
            <w:tcW w:w="2450" w:type="dxa"/>
            <w:tcBorders>
              <w:bottom w:val="single" w:sz="12" w:space="0" w:color="000000"/>
            </w:tcBorders>
            <w:tcMar>
              <w:bottom w:w="28" w:type="dxa"/>
            </w:tcMar>
            <w:vAlign w:val="center"/>
          </w:tcPr>
          <w:p>
            <w:pPr>
              <w:pStyle w:val="TableContents"/>
              <w:bidi w:val="0"/>
              <w:spacing w:before="0" w:after="283"/>
              <w:jc w:val="left"/>
              <w:rPr>
                <w:i/>
                <w:spacing w:val="0"/>
              </w:rPr>
            </w:pPr>
            <w:r>
              <w:rPr>
                <w:i/>
                <w:spacing w:val="0"/>
              </w:rPr>
              <w:t>(In thousands)</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Hierarchy</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Amount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Fair Value</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Amount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Fair Value</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Financial assets:</w:t>
            </w:r>
          </w:p>
        </w:tc>
        <w:tc>
          <w:tcPr>
            <w:tcW w:w="90" w:type="dxa"/>
            <w:tcBorders/>
            <w:vAlign w:val="center"/>
          </w:tcPr>
          <w:p>
            <w:pPr>
              <w:pStyle w:val="TableContents"/>
              <w:bidi w:val="0"/>
              <w:spacing w:before="0" w:after="283"/>
              <w:jc w:val="right"/>
              <w:rPr/>
            </w:pPr>
            <w:r>
              <w:rPr/>
              <w:t> </w:t>
            </w:r>
          </w:p>
        </w:tc>
        <w:tc>
          <w:tcPr>
            <w:tcW w:w="396" w:type="dxa"/>
            <w:tcBorders/>
            <w:vAlign w:val="center"/>
          </w:tcPr>
          <w:p>
            <w:pPr>
              <w:pStyle w:val="TableContents"/>
              <w:bidi w:val="0"/>
              <w:spacing w:before="0" w:after="283"/>
              <w:jc w:val="right"/>
              <w:rPr/>
            </w:pPr>
            <w:r>
              <w:rPr/>
              <w:t> </w:t>
            </w:r>
          </w:p>
        </w:tc>
        <w:tc>
          <w:tcPr>
            <w:tcW w:w="74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pPr>
            <w:r>
              <w:rPr/>
              <w:t xml:space="preserve">HTM securities </w:t>
            </w:r>
          </w:p>
        </w:tc>
        <w:tc>
          <w:tcPr>
            <w:tcW w:w="90" w:type="dxa"/>
            <w:tcBorders/>
            <w:shd w:fill="CCEEFF" w:val="clear"/>
            <w:vAlign w:val="center"/>
          </w:tcPr>
          <w:p>
            <w:pPr>
              <w:pStyle w:val="TableContents"/>
              <w:bidi w:val="0"/>
              <w:spacing w:before="0" w:after="283"/>
              <w:jc w:val="right"/>
              <w:rPr/>
            </w:pPr>
            <w:r>
              <w:rPr/>
              <w:t> </w:t>
            </w:r>
          </w:p>
        </w:tc>
        <w:tc>
          <w:tcPr>
            <w:tcW w:w="396" w:type="dxa"/>
            <w:tcBorders/>
            <w:shd w:fill="CCEEFF" w:val="clear"/>
            <w:vAlign w:val="center"/>
          </w:tcPr>
          <w:p>
            <w:pPr>
              <w:pStyle w:val="TableContents"/>
              <w:bidi w:val="0"/>
              <w:spacing w:before="0" w:after="283"/>
              <w:jc w:val="right"/>
              <w:rPr/>
            </w:pPr>
            <w:r>
              <w:rPr/>
              <w:t> </w:t>
            </w:r>
          </w:p>
        </w:tc>
        <w:tc>
          <w:tcPr>
            <w:tcW w:w="748"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755,086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692,689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762,756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702,577</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pPr>
            <w:r>
              <w:rPr/>
              <w:t xml:space="preserve">Net loans </w:t>
            </w:r>
          </w:p>
        </w:tc>
        <w:tc>
          <w:tcPr>
            <w:tcW w:w="90" w:type="dxa"/>
            <w:tcBorders/>
            <w:vAlign w:val="center"/>
          </w:tcPr>
          <w:p>
            <w:pPr>
              <w:pStyle w:val="TableContents"/>
              <w:bidi w:val="0"/>
              <w:spacing w:before="0" w:after="283"/>
              <w:jc w:val="right"/>
              <w:rPr/>
            </w:pPr>
            <w:r>
              <w:rPr/>
              <w:t> </w:t>
            </w:r>
          </w:p>
        </w:tc>
        <w:tc>
          <w:tcPr>
            <w:tcW w:w="396" w:type="dxa"/>
            <w:tcBorders/>
            <w:vAlign w:val="center"/>
          </w:tcPr>
          <w:p>
            <w:pPr>
              <w:pStyle w:val="TableContents"/>
              <w:bidi w:val="0"/>
              <w:spacing w:before="0" w:after="283"/>
              <w:jc w:val="right"/>
              <w:rPr/>
            </w:pPr>
            <w:r>
              <w:rPr/>
              <w:t> </w:t>
            </w:r>
          </w:p>
        </w:tc>
        <w:tc>
          <w:tcPr>
            <w:tcW w:w="748" w:type="dxa"/>
            <w:tcBorders/>
            <w:vAlign w:val="center"/>
          </w:tcPr>
          <w:p>
            <w:pPr>
              <w:pStyle w:val="TableContents"/>
              <w:bidi w:val="0"/>
              <w:spacing w:before="0" w:after="283"/>
              <w:jc w:val="center"/>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11,733,581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11,528,110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11,461,222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11,337,753</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pPr>
            <w:r>
              <w:rPr/>
              <w:t xml:space="preserve">Financial liabilities: </w:t>
            </w:r>
          </w:p>
        </w:tc>
        <w:tc>
          <w:tcPr>
            <w:tcW w:w="90" w:type="dxa"/>
            <w:tcBorders/>
            <w:shd w:fill="CCEEFF" w:val="clear"/>
            <w:vAlign w:val="center"/>
          </w:tcPr>
          <w:p>
            <w:pPr>
              <w:pStyle w:val="TableContents"/>
              <w:bidi w:val="0"/>
              <w:spacing w:before="0" w:after="283"/>
              <w:jc w:val="both"/>
              <w:rPr/>
            </w:pPr>
            <w:r>
              <w:rPr/>
              <w:t> </w:t>
            </w:r>
          </w:p>
        </w:tc>
        <w:tc>
          <w:tcPr>
            <w:tcW w:w="396" w:type="dxa"/>
            <w:tcBorders/>
            <w:shd w:fill="CCEEFF" w:val="clear"/>
            <w:vAlign w:val="center"/>
          </w:tcPr>
          <w:p>
            <w:pPr>
              <w:pStyle w:val="TableContents"/>
              <w:bidi w:val="0"/>
              <w:spacing w:before="0" w:after="283"/>
              <w:jc w:val="both"/>
              <w:rPr/>
            </w:pPr>
            <w:r>
              <w:rPr/>
              <w:t> </w:t>
            </w:r>
          </w:p>
        </w:tc>
        <w:tc>
          <w:tcPr>
            <w:tcW w:w="74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113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113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113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both"/>
              <w:rPr/>
            </w:pPr>
            <w:r>
              <w:rPr/>
              <w:t> </w:t>
            </w:r>
          </w:p>
        </w:tc>
        <w:tc>
          <w:tcPr>
            <w:tcW w:w="1130" w:type="dxa"/>
            <w:tcBorders/>
            <w:shd w:fill="CCEEFF" w:val="clear"/>
            <w:vAlign w:val="center"/>
          </w:tcPr>
          <w:p>
            <w:pPr>
              <w:pStyle w:val="TableContents"/>
              <w:bidi w:val="0"/>
              <w:spacing w:before="0" w:after="283"/>
              <w:jc w:val="both"/>
              <w:rPr/>
            </w:pPr>
            <w:r>
              <w:rPr/>
              <w:t> </w:t>
            </w:r>
          </w:p>
        </w:tc>
        <w:tc>
          <w:tcPr>
            <w:tcW w:w="135" w:type="dxa"/>
            <w:tcBorders/>
            <w:shd w:fill="CCEEFF" w:val="clear"/>
            <w:vAlign w:val="center"/>
          </w:tcPr>
          <w:p>
            <w:pPr>
              <w:pStyle w:val="TableContents"/>
              <w:bidi w:val="0"/>
              <w:spacing w:before="0" w:after="283"/>
              <w:jc w:val="both"/>
              <w:rPr/>
            </w:pPr>
            <w:r>
              <w:rPr/>
              <w:t> </w:t>
            </w:r>
          </w:p>
        </w:tc>
      </w:tr>
      <w:tr>
        <w:trPr/>
        <w:tc>
          <w:tcPr>
            <w:tcW w:w="2450" w:type="dxa"/>
            <w:tcBorders/>
            <w:vAlign w:val="center"/>
          </w:tcPr>
          <w:p>
            <w:pPr>
              <w:pStyle w:val="TableContents"/>
              <w:bidi w:val="0"/>
              <w:spacing w:before="0" w:after="0"/>
              <w:jc w:val="left"/>
              <w:rPr/>
            </w:pPr>
            <w:r>
              <w:rPr/>
              <w:t xml:space="preserve">Time deposits </w:t>
            </w:r>
          </w:p>
        </w:tc>
        <w:tc>
          <w:tcPr>
            <w:tcW w:w="90" w:type="dxa"/>
            <w:tcBorders/>
            <w:vAlign w:val="center"/>
          </w:tcPr>
          <w:p>
            <w:pPr>
              <w:pStyle w:val="TableContents"/>
              <w:bidi w:val="0"/>
              <w:spacing w:before="0" w:after="283"/>
              <w:jc w:val="right"/>
              <w:rPr/>
            </w:pPr>
            <w:r>
              <w:rPr/>
              <w:t> </w:t>
            </w:r>
          </w:p>
        </w:tc>
        <w:tc>
          <w:tcPr>
            <w:tcW w:w="396" w:type="dxa"/>
            <w:tcBorders/>
            <w:vAlign w:val="center"/>
          </w:tcPr>
          <w:p>
            <w:pPr>
              <w:pStyle w:val="TableContents"/>
              <w:bidi w:val="0"/>
              <w:spacing w:before="0" w:after="283"/>
              <w:jc w:val="right"/>
              <w:rPr/>
            </w:pPr>
            <w:r>
              <w:rPr/>
              <w:t> </w:t>
            </w:r>
          </w:p>
        </w:tc>
        <w:tc>
          <w:tcPr>
            <w:tcW w:w="748" w:type="dxa"/>
            <w:tcBorders/>
            <w:vAlign w:val="center"/>
          </w:tcPr>
          <w:p>
            <w:pPr>
              <w:pStyle w:val="TableContents"/>
              <w:bidi w:val="0"/>
              <w:spacing w:before="0" w:after="283"/>
              <w:jc w:val="center"/>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1,328,884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1,315,245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1,492,445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1,484,165</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pPr>
            <w:r>
              <w:rPr/>
              <w:t xml:space="preserve">Long-term debt </w:t>
            </w:r>
          </w:p>
        </w:tc>
        <w:tc>
          <w:tcPr>
            <w:tcW w:w="90" w:type="dxa"/>
            <w:tcBorders/>
            <w:shd w:fill="CCEEFF" w:val="clear"/>
            <w:vAlign w:val="center"/>
          </w:tcPr>
          <w:p>
            <w:pPr>
              <w:pStyle w:val="TableContents"/>
              <w:bidi w:val="0"/>
              <w:spacing w:before="0" w:after="283"/>
              <w:jc w:val="right"/>
              <w:rPr/>
            </w:pPr>
            <w:r>
              <w:rPr/>
              <w:t> </w:t>
            </w:r>
          </w:p>
        </w:tc>
        <w:tc>
          <w:tcPr>
            <w:tcW w:w="396" w:type="dxa"/>
            <w:tcBorders/>
            <w:shd w:fill="CCEEFF" w:val="clear"/>
            <w:vAlign w:val="center"/>
          </w:tcPr>
          <w:p>
            <w:pPr>
              <w:pStyle w:val="TableContents"/>
              <w:bidi w:val="0"/>
              <w:spacing w:before="0" w:after="283"/>
              <w:jc w:val="right"/>
              <w:rPr/>
            </w:pPr>
            <w:r>
              <w:rPr/>
              <w:t> </w:t>
            </w:r>
          </w:p>
        </w:tc>
        <w:tc>
          <w:tcPr>
            <w:tcW w:w="748"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43,043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42,965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43,176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43,395</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pPr>
            <w:r>
              <w:rPr/>
              <w:t xml:space="preserve">Subordinated debt </w:t>
            </w:r>
          </w:p>
        </w:tc>
        <w:tc>
          <w:tcPr>
            <w:tcW w:w="90" w:type="dxa"/>
            <w:tcBorders/>
            <w:vAlign w:val="center"/>
          </w:tcPr>
          <w:p>
            <w:pPr>
              <w:pStyle w:val="TableContents"/>
              <w:bidi w:val="0"/>
              <w:spacing w:before="0" w:after="283"/>
              <w:jc w:val="right"/>
              <w:rPr/>
            </w:pPr>
            <w:r>
              <w:rPr/>
              <w:t> </w:t>
            </w:r>
          </w:p>
        </w:tc>
        <w:tc>
          <w:tcPr>
            <w:tcW w:w="396" w:type="dxa"/>
            <w:tcBorders/>
            <w:vAlign w:val="center"/>
          </w:tcPr>
          <w:p>
            <w:pPr>
              <w:pStyle w:val="TableContents"/>
              <w:bidi w:val="0"/>
              <w:spacing w:before="0" w:after="283"/>
              <w:jc w:val="right"/>
              <w:rPr/>
            </w:pPr>
            <w:r>
              <w:rPr/>
              <w:t> </w:t>
            </w:r>
          </w:p>
        </w:tc>
        <w:tc>
          <w:tcPr>
            <w:tcW w:w="748" w:type="dxa"/>
            <w:tcBorders/>
            <w:vAlign w:val="center"/>
          </w:tcPr>
          <w:p>
            <w:pPr>
              <w:pStyle w:val="TableContents"/>
              <w:bidi w:val="0"/>
              <w:spacing w:before="0" w:after="283"/>
              <w:jc w:val="center"/>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24,509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24,016</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pPr>
            <w:r>
              <w:rPr/>
              <w:t xml:space="preserve">Junior subordinated debt </w:t>
            </w:r>
          </w:p>
        </w:tc>
        <w:tc>
          <w:tcPr>
            <w:tcW w:w="90" w:type="dxa"/>
            <w:tcBorders/>
            <w:shd w:fill="CCEEFF" w:val="clear"/>
            <w:vAlign w:val="center"/>
          </w:tcPr>
          <w:p>
            <w:pPr>
              <w:pStyle w:val="TableContents"/>
              <w:bidi w:val="0"/>
              <w:spacing w:before="0" w:after="283"/>
              <w:jc w:val="right"/>
              <w:rPr/>
            </w:pPr>
            <w:r>
              <w:rPr/>
              <w:t> </w:t>
            </w:r>
          </w:p>
        </w:tc>
        <w:tc>
          <w:tcPr>
            <w:tcW w:w="396" w:type="dxa"/>
            <w:tcBorders/>
            <w:shd w:fill="CCEEFF" w:val="clear"/>
            <w:vAlign w:val="center"/>
          </w:tcPr>
          <w:p>
            <w:pPr>
              <w:pStyle w:val="TableContents"/>
              <w:bidi w:val="0"/>
              <w:spacing w:before="0" w:after="283"/>
              <w:jc w:val="right"/>
              <w:rPr/>
            </w:pPr>
            <w:r>
              <w:rPr/>
              <w:t> </w:t>
            </w:r>
          </w:p>
        </w:tc>
        <w:tc>
          <w:tcPr>
            <w:tcW w:w="748" w:type="dxa"/>
            <w:tcBorders/>
            <w:shd w:fill="CCEEFF" w:val="clear"/>
            <w:vAlign w:val="center"/>
          </w:tcPr>
          <w:p>
            <w:pPr>
              <w:pStyle w:val="TableContents"/>
              <w:bidi w:val="0"/>
              <w:spacing w:before="0" w:after="283"/>
              <w:jc w:val="center"/>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111,714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97,775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111,668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98,841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Fair value estimates are made at a specific point in time, based on relevant market information and information about the financial instrument. These estimates do not reflect any premium or discount that could result from offering for sale at one time the Company’s entire holdings of a particular financial instrument. Because no market exists for a significant portion of the Company’s financial instruments, fair value estimates are based on judgments regarding future expected loss experience,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estimates.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Fair value estimates are based on existing on and off-balance sheet financial instruments without attempting to estimate the value of anticipated future business and the value of assets and liabilities that are not considered financial instruments. For example, the Company has a substantial wealth operation that contributes net fee income annually. The wealth management operation is not considered a financial instrument and its value has not been incorporated into the fair value estimates. Other significant assets and liabilities include the benefits resulting from the low-cost funding of deposit liabilities as compared to the cost of borrowing funds in the market and premises and equipment. In addition, the tax ramifications related to the realization of the unrealized gains and losses can have a significant effect on fair value estimates and have not been considered in the estimate of fair value.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HTM Securities - </w:t>
      </w:r>
      <w:r>
        <w:rPr>
          <w:rFonts w:ascii="TimesNewRoman;Times New Roman;Times;Baskerville;Georgia;serif" w:hAnsi="TimesNewRoman;Times New Roman;Times;Baskerville;Georgia;serif"/>
          <w:sz w:val="20"/>
        </w:rPr>
        <w:t xml:space="preserve">The fair value of the Company’s HTM securities is primarily measured using information from a third-party pricing service. The fair value measurements consider observable data that may include dealer quotes, market spreads, cash flows, the U.S. Treasury yield curve, live trading levels, trade execution data, market consensus prepayment speeds, credit information and the bond’s terms and conditions, among other factors.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Net Loans - </w:t>
      </w:r>
      <w:r>
        <w:rPr>
          <w:rFonts w:ascii="TimesNewRoman;Times New Roman;Times;Baskerville;Georgia;serif" w:hAnsi="TimesNewRoman;Times New Roman;Times;Baskerville;Georgia;serif"/>
          <w:sz w:val="20"/>
        </w:rPr>
        <w:t xml:space="preserve">Net loans include portfolio loans and loans held for sale. Loans were first segregated by type and then further segmented into fixed and variable rate and loan quality categories. Expected future cash flows were projected based on contractual cash flows, adjusted for estimated prepayments, and those expected future cash flows also includes credit risk, illiquidity risk and other market factors to calculate the exit price fair value in accordance with ASC 820.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Time Deposits - </w:t>
      </w:r>
      <w:r>
        <w:rPr>
          <w:rFonts w:ascii="TimesNewRoman;Times New Roman;Times;Baskerville;Georgia;serif" w:hAnsi="TimesNewRoman;Times New Roman;Times;Baskerville;Georgia;serif"/>
          <w:sz w:val="20"/>
        </w:rPr>
        <w:t xml:space="preserve">The fair value of time deposits was estimated using a discounted cash flow approach that applies prevailing market interest rates for similar maturity instruments. The fair values of the Company’s time deposit liabilities do not take into consideration the value of the Company’s long-term relationships with depositors, which may have significant value.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Long-Term Debt - </w:t>
      </w:r>
      <w:r>
        <w:rPr>
          <w:rFonts w:ascii="TimesNewRoman;Times New Roman;Times;Baskerville;Georgia;serif" w:hAnsi="TimesNewRoman;Times New Roman;Times;Baskerville;Georgia;serif"/>
          <w:sz w:val="20"/>
        </w:rPr>
        <w:t xml:space="preserve">The fair value of long-term debt was estimated using a discounted cash flow approach that applies prevailing market interest rates for similar maturity instruments.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Subordinated Debt - </w:t>
      </w:r>
      <w:r>
        <w:rPr>
          <w:rFonts w:ascii="TimesNewRoman;Times New Roman;Times;Baskerville;Georgia;serif" w:hAnsi="TimesNewRoman;Times New Roman;Times;Baskerville;Georgia;serif"/>
          <w:sz w:val="20"/>
        </w:rPr>
        <w:t xml:space="preserve">The fair value of subordinated debt has been measured using the observable market price as of the period reported.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Junior Subordinated Debt - </w:t>
      </w:r>
      <w:r>
        <w:rPr>
          <w:rFonts w:ascii="TimesNewRoman;Times New Roman;Times;Baskerville;Georgia;serif" w:hAnsi="TimesNewRoman;Times New Roman;Times;Baskerville;Georgia;serif"/>
          <w:sz w:val="20"/>
        </w:rPr>
        <w:t xml:space="preserve">The fair value of junior subordinated debt has been estimated using a discounted cash flow analysis. </w:t>
      </w:r>
    </w:p>
    <w:p>
      <w:pPr>
        <w:pStyle w:val="TextBody"/>
        <w:bidi w:val="0"/>
        <w:spacing w:before="0" w:after="0"/>
        <w:jc w:val="both"/>
        <w:rPr/>
      </w:pPr>
      <w:r>
        <w:rPr/>
        <w:t xml:space="preserve">  </w:t>
      </w:r>
    </w:p>
    <w:p>
      <w:pPr>
        <w:pStyle w:val="TextBody"/>
        <w:bidi w:val="0"/>
        <w:spacing w:before="0" w:after="0"/>
        <w:jc w:val="both"/>
        <w:rPr/>
      </w:pPr>
      <w:r>
        <w:rPr/>
        <w:t> </w:t>
      </w:r>
      <w:r>
        <w:rPr>
          <w:rFonts w:ascii="TimesNewRoman;Times New Roman;Times;Baskerville;Georgia;serif" w:hAnsi="TimesNewRoman;Times New Roman;Times;Baskerville;Georgia;serif"/>
          <w:b/>
          <w:sz w:val="20"/>
        </w:rPr>
        <w:t>14. Commitments and Contingencies</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is a party to certain financial instruments with off-balance sheet risk in the normal course of business to meet the financing needs of its customers. These financial instruments include commitments to extend credit, unused lines of credit, standby letters of credit and certain agricultural real estate loans sold to investors with recourse, with the sold portion having a government guarantee that is assignable back to the Company upon repurchase of the loan in the event of default. The Company’s exposure to credit loss in the event of nonperformance by the other party to the commitments to extend credit, unused lines of credit, standby letters of credit and loans sold with recourse is represented by the contractual amount of those instruments.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 Commitments to extend credit and unused lines of credit totaled $3.59 billion at June 30, 2026 and $3.40 billion at December 31, 2025.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Since many loan commitments, standby letters of credit and guarantees and indemnification contracts expire without being funded in whole or in part, the contract amounts are not necessarily indicative of future cash flows. The Company does not issue any guarantees that would require liability-recognition or disclosure, other than its standby letters of credit.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guarantees the obligations or performance of customers by issuing standby letters of credit to third-parties. These standby letters of credit are generally issued in support of third-party debt, such as corporate debt issuances, industrial revenue bonds and municipal securities. The risk involved in issuing standby letters of credit is essentially the same as the credit risk involved in extending loan facilities to customers and letters of credit are subject to the same credit origination, portfolio maintenance and management procedures in effect to monitor other credit and off-balance sheet products. Typically, these instruments have one year expirations with an option to renew upon annual review; therefore, the total amounts do not necessarily represent future cash requirements. Standby letters of credit totaled $63.5 million at June 30, 2026 and $58.5 million at December 31, 2025. As of June 30, 2026 and December 31, 2025, the fair value of the Company’s standby letters of credit was not significant.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In the normal course of business there are various outstanding legal proceedings. The Company accrues for material estimated losses from loss contingencies if the information available indicates that it is probable that a liability had been incurred at the date of the financial statements and the amount of loss can be reasonably estimated.</w: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15. Segment Reporting</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Management assesses its operating segment structure to enhance transparency in how financial performance is evaluated and resources are allocated by the chief operating decision maker (“CODM”). Segments are components of an enterprise that are regularly evaluated by the CODM to allocate resources and assess performance. The Company’s CODM is its Chief Executive Officer.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has determined that it operates through two reportable segments: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 xml:space="preserve">Banking </w:t>
      </w:r>
      <w:r>
        <w:rPr>
          <w:rFonts w:ascii="TimesNewRoman;Times New Roman;Times;Baskerville;Georgia;serif" w:hAnsi="TimesNewRoman;Times New Roman;Times;Baskerville;Georgia;serif"/>
          <w:sz w:val="20"/>
        </w:rPr>
        <w:t xml:space="preserve">– Provides commercial banking, retail banking, and wealth management services primarily to customers in its market area, offering a broad array of banking and financial services to retail, commercial, and municipal customers. Included in Banking are the revenue and expenses from the wealth management business and the parent holding company. The parent company’s principal activities include the direct and indirect ownership of banking and non-banking subsidiaries, as well as the issuance of debt and equity. The parent company’s principal sources of revenue are the management fees and dividends it receives from its subsidiaries. Banking also includes corporate shared service costs such as the majority of equity compensation expense, as well as other general and administrative shared services costs including pension, retirement plan and supplemental retirement plan costs. Currently there is no allocation of these costs to other operating segments.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Retirement Plan Administration</w:t>
      </w:r>
      <w:r>
        <w:rPr>
          <w:rFonts w:ascii="TimesNewRoman;Times New Roman;Times;Baskerville;Georgia;serif" w:hAnsi="TimesNewRoman;Times New Roman;Times;Baskerville;Georgia;serif"/>
          <w:sz w:val="20"/>
        </w:rPr>
        <w:t xml:space="preserve"> – Includes retirement plan and health savings account recordkeeping and administration, investment management, third-party administration, and actuarial services.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Our CODM reviews actual net income versus budgeted net income to assess segment performance and to make decisions about allocating capital and personnel to the segments. The CODM regularly receives expense information at a level consistent with that disclosed in the Company’s consolidated statements of income.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Reported segments and their financial information are not necessarily comparable to similar information reported by other financial institutions. Additionally, due to interrelationships among the various segments, the information presented is not indicative of how the segments would perform as independent entities. Changes in management structure, allocation methodologies, or procedures may result in future revisions to previously reported segment financial data. There have been no changes to the Company’s operating segments since those disclosed in the Company’s Annual Report on Form 10</w:t>
        <w:noBreakHyphen/>
        <w:t xml:space="preserve">K for the year ended December 31, 2025. The Company will continue to evaluate its segment disclosures and make necessary adjustments as business operations evolve.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about reportable segments and reconciliation of the information to the consolidated financial statements follows: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620"/>
        <w:gridCol w:w="90"/>
        <w:gridCol w:w="170"/>
        <w:gridCol w:w="1130"/>
        <w:gridCol w:w="90"/>
        <w:gridCol w:w="90"/>
        <w:gridCol w:w="293"/>
        <w:gridCol w:w="1227"/>
        <w:gridCol w:w="185"/>
        <w:gridCol w:w="90"/>
        <w:gridCol w:w="170"/>
        <w:gridCol w:w="1175"/>
        <w:gridCol w:w="185"/>
        <w:gridCol w:w="90"/>
        <w:gridCol w:w="170"/>
        <w:gridCol w:w="1295"/>
        <w:gridCol w:w="135"/>
      </w:tblGrid>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20" w:type="dxa"/>
            <w:tcBorders/>
          </w:tcPr>
          <w:p>
            <w:pPr>
              <w:pStyle w:val="TableContents"/>
              <w:bidi w:val="0"/>
              <w:spacing w:before="0" w:after="283"/>
              <w:jc w:val="left"/>
              <w:rPr/>
            </w:pPr>
            <w:r>
              <w:rPr/>
              <w:t> </w:t>
            </w:r>
          </w:p>
        </w:tc>
        <w:tc>
          <w:tcPr>
            <w:tcW w:w="6585" w:type="dxa"/>
            <w:gridSpan w:val="16"/>
            <w:tcBorders>
              <w:bottom w:val="single" w:sz="12" w:space="0" w:color="000000"/>
            </w:tcBorders>
            <w:tcMar>
              <w:bottom w:w="28" w:type="dxa"/>
            </w:tcMar>
          </w:tcPr>
          <w:p>
            <w:pPr>
              <w:pStyle w:val="TableContents"/>
              <w:bidi w:val="0"/>
              <w:spacing w:before="0" w:after="0"/>
              <w:ind w:left="0" w:right="0" w:hanging="0"/>
              <w:jc w:val="center"/>
              <w:rPr/>
            </w:pPr>
            <w:r>
              <w:rPr/>
              <w:t>Three Months Ended June 30, 2026</w:t>
            </w:r>
          </w:p>
        </w:tc>
      </w:tr>
      <w:tr>
        <w:trPr/>
        <w:tc>
          <w:tcPr>
            <w:tcW w:w="3620" w:type="dxa"/>
            <w:tcBorders>
              <w:bottom w:val="single" w:sz="12" w:space="0" w:color="000000"/>
            </w:tcBorders>
            <w:tcMar>
              <w:bottom w:w="28" w:type="dxa"/>
            </w:tcMar>
          </w:tcPr>
          <w:p>
            <w:pPr>
              <w:pStyle w:val="TableContents"/>
              <w:bidi w:val="0"/>
              <w:spacing w:before="0" w:after="0"/>
              <w:ind w:left="144" w:right="0" w:hanging="144"/>
              <w:jc w:val="left"/>
              <w:rPr>
                <w:b w:val="false"/>
                <w:i/>
              </w:rPr>
            </w:pPr>
            <w:r>
              <w:rPr>
                <w:b w:val="false"/>
                <w:i/>
              </w:rPr>
              <w:t>(In thousands)</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tcPr>
          <w:p>
            <w:pPr>
              <w:pStyle w:val="TableContents"/>
              <w:bidi w:val="0"/>
              <w:spacing w:before="0" w:after="0"/>
              <w:ind w:left="0" w:right="0" w:hanging="0"/>
              <w:jc w:val="center"/>
              <w:rPr/>
            </w:pPr>
            <w:r>
              <w:rPr/>
              <w:t>Banking</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tcPr>
          <w:p>
            <w:pPr>
              <w:pStyle w:val="TableContents"/>
              <w:bidi w:val="0"/>
              <w:spacing w:before="0" w:after="0"/>
              <w:ind w:left="0" w:right="0" w:hanging="0"/>
              <w:jc w:val="center"/>
              <w:rPr/>
            </w:pPr>
            <w:r>
              <w:rPr>
                <w:spacing w:val="0"/>
              </w:rPr>
              <w:t>Retirement</w:t>
              <w:br/>
              <w:t> Plan</w:t>
              <w:br/>
              <w:t> </w:t>
            </w:r>
            <w:r>
              <w:rPr/>
              <w:t>Administration</w:t>
            </w:r>
          </w:p>
        </w:tc>
        <w:tc>
          <w:tcPr>
            <w:tcW w:w="185" w:type="dxa"/>
            <w:tcBorders>
              <w:bottom w:val="single" w:sz="12" w:space="0" w:color="000000"/>
            </w:tcBorders>
            <w:tcMar>
              <w:bottom w:w="28" w:type="dxa"/>
            </w:tcMar>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175" w:type="dxa"/>
            <w:tcBorders>
              <w:bottom w:val="single" w:sz="12" w:space="0" w:color="000000"/>
            </w:tcBorders>
            <w:tcMar>
              <w:bottom w:w="28" w:type="dxa"/>
            </w:tcMar>
          </w:tcPr>
          <w:p>
            <w:pPr>
              <w:pStyle w:val="TableContents"/>
              <w:bidi w:val="0"/>
              <w:spacing w:before="0" w:after="0"/>
              <w:ind w:left="0" w:right="0" w:hanging="0"/>
              <w:jc w:val="center"/>
              <w:rPr/>
            </w:pPr>
            <w:r>
              <w:rPr/>
              <w:t>All Other(1)</w:t>
            </w:r>
          </w:p>
        </w:tc>
        <w:tc>
          <w:tcPr>
            <w:tcW w:w="185" w:type="dxa"/>
            <w:tcBorders>
              <w:bottom w:val="single" w:sz="12" w:space="0" w:color="000000"/>
            </w:tcBorders>
            <w:tcMar>
              <w:bottom w:w="28" w:type="dxa"/>
            </w:tcMar>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295" w:type="dxa"/>
            <w:tcBorders>
              <w:bottom w:val="single" w:sz="12" w:space="0" w:color="000000"/>
            </w:tcBorders>
            <w:tcMar>
              <w:bottom w:w="28" w:type="dxa"/>
            </w:tcMar>
          </w:tcPr>
          <w:p>
            <w:pPr>
              <w:pStyle w:val="TableContents"/>
              <w:bidi w:val="0"/>
              <w:spacing w:before="0" w:after="0"/>
              <w:ind w:left="0" w:right="0" w:hanging="0"/>
              <w:jc w:val="center"/>
              <w:rPr/>
            </w:pPr>
            <w:r>
              <w:rPr/>
              <w:t>Consolidated</w:t>
            </w:r>
          </w:p>
        </w:tc>
        <w:tc>
          <w:tcPr>
            <w:tcW w:w="135" w:type="dxa"/>
            <w:tcBorders>
              <w:bottom w:val="single" w:sz="12" w:space="0" w:color="000000"/>
            </w:tcBorders>
            <w:tcMar>
              <w:bottom w:w="28" w:type="dxa"/>
            </w:tcMar>
          </w:tcPr>
          <w:p>
            <w:pPr>
              <w:pStyle w:val="TableContents"/>
              <w:bidi w:val="0"/>
              <w:spacing w:before="0" w:after="283"/>
              <w:jc w:val="center"/>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Net interest income</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30" w:type="dxa"/>
            <w:tcBorders/>
            <w:shd w:fill="CCEEFF" w:val="clear"/>
          </w:tcPr>
          <w:p>
            <w:pPr>
              <w:pStyle w:val="TableContents"/>
              <w:bidi w:val="0"/>
              <w:spacing w:before="0" w:after="0"/>
              <w:ind w:left="0" w:right="0" w:hanging="0"/>
              <w:jc w:val="right"/>
              <w:rPr/>
            </w:pPr>
            <w:r>
              <w:rPr/>
              <w:t>136,944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w:t>
            </w:r>
          </w:p>
        </w:tc>
        <w:tc>
          <w:tcPr>
            <w:tcW w:w="1227" w:type="dxa"/>
            <w:tcBorders/>
            <w:shd w:fill="CCEEFF" w:val="clear"/>
          </w:tcPr>
          <w:p>
            <w:pPr>
              <w:pStyle w:val="TableContents"/>
              <w:bidi w:val="0"/>
              <w:spacing w:before="0" w:after="0"/>
              <w:ind w:left="0" w:right="0" w:hanging="0"/>
              <w:jc w:val="right"/>
              <w:rPr/>
            </w:pPr>
            <w:r>
              <w:rPr/>
              <w:t>19</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75"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295" w:type="dxa"/>
            <w:tcBorders/>
            <w:shd w:fill="CCEEFF" w:val="clear"/>
          </w:tcPr>
          <w:p>
            <w:pPr>
              <w:pStyle w:val="TableContents"/>
              <w:bidi w:val="0"/>
              <w:spacing w:before="0" w:after="0"/>
              <w:ind w:left="0" w:right="0" w:hanging="0"/>
              <w:jc w:val="right"/>
              <w:rPr/>
            </w:pPr>
            <w:r>
              <w:rPr/>
              <w:t>136,963</w:t>
            </w:r>
          </w:p>
        </w:tc>
        <w:tc>
          <w:tcPr>
            <w:tcW w:w="135" w:type="dxa"/>
            <w:tcBorders/>
            <w:shd w:fill="CCEEFF" w:val="clear"/>
          </w:tcPr>
          <w:p>
            <w:pPr>
              <w:pStyle w:val="TableContents"/>
              <w:bidi w:val="0"/>
              <w:spacing w:before="0" w:after="0"/>
              <w:jc w:val="left"/>
              <w:rPr/>
            </w:pPr>
            <w:r>
              <w:rPr/>
              <w:t> </w:t>
            </w:r>
          </w:p>
        </w:tc>
      </w:tr>
      <w:tr>
        <w:trPr/>
        <w:tc>
          <w:tcPr>
            <w:tcW w:w="3620" w:type="dxa"/>
            <w:tcBorders>
              <w:bottom w:val="single" w:sz="12" w:space="0" w:color="000000"/>
            </w:tcBorders>
            <w:tcMar>
              <w:bottom w:w="28" w:type="dxa"/>
            </w:tcMar>
          </w:tcPr>
          <w:p>
            <w:pPr>
              <w:pStyle w:val="TableContents"/>
              <w:bidi w:val="0"/>
              <w:spacing w:before="0" w:after="0"/>
              <w:ind w:left="0" w:right="0" w:hanging="0"/>
              <w:jc w:val="left"/>
              <w:rPr>
                <w:b w:val="false"/>
              </w:rPr>
            </w:pPr>
            <w:r>
              <w:rPr>
                <w:b w:val="false"/>
              </w:rPr>
              <w:t>Provision for loan losses</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right"/>
              <w:rPr/>
            </w:pPr>
            <w:r>
              <w:rPr/>
              <w:t>6,136</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27" w:type="dxa"/>
            <w:tcBorders>
              <w:bottom w:val="single" w:sz="12" w:space="0" w:color="000000"/>
            </w:tcBorders>
            <w:tcMar>
              <w:bottom w:w="28" w:type="dxa"/>
            </w:tcMar>
          </w:tcPr>
          <w:p>
            <w:pPr>
              <w:pStyle w:val="TableContents"/>
              <w:bidi w:val="0"/>
              <w:spacing w:before="0" w:after="0"/>
              <w:ind w:left="0" w:right="0" w:hanging="0"/>
              <w:jc w:val="right"/>
              <w:rPr/>
            </w:pPr>
            <w:r>
              <w:rPr/>
              <w:t xml:space="preserve">- </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75" w:type="dxa"/>
            <w:tcBorders>
              <w:bottom w:val="single" w:sz="12" w:space="0" w:color="000000"/>
            </w:tcBorders>
            <w:tcMar>
              <w:bottom w:w="28" w:type="dxa"/>
            </w:tcMar>
          </w:tcPr>
          <w:p>
            <w:pPr>
              <w:pStyle w:val="TableContents"/>
              <w:bidi w:val="0"/>
              <w:spacing w:before="0" w:after="0"/>
              <w:ind w:left="0" w:right="0" w:hanging="0"/>
              <w:jc w:val="right"/>
              <w:rPr/>
            </w:pPr>
            <w:r>
              <w:rPr/>
              <w:t xml:space="preserve">- </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95" w:type="dxa"/>
            <w:tcBorders>
              <w:bottom w:val="single" w:sz="12" w:space="0" w:color="000000"/>
            </w:tcBorders>
            <w:tcMar>
              <w:bottom w:w="28" w:type="dxa"/>
            </w:tcMar>
          </w:tcPr>
          <w:p>
            <w:pPr>
              <w:pStyle w:val="TableContents"/>
              <w:bidi w:val="0"/>
              <w:spacing w:before="0" w:after="0"/>
              <w:ind w:left="0" w:right="0" w:hanging="0"/>
              <w:jc w:val="right"/>
              <w:rPr/>
            </w:pPr>
            <w:r>
              <w:rPr/>
              <w:t>6,136</w:t>
            </w:r>
          </w:p>
        </w:tc>
        <w:tc>
          <w:tcPr>
            <w:tcW w:w="135" w:type="dxa"/>
            <w:tcBorders>
              <w:bottom w:val="single" w:sz="12" w:space="0" w:color="000000"/>
            </w:tcBorders>
            <w:tcMar>
              <w:bottom w:w="28" w:type="dxa"/>
            </w:tcMar>
          </w:tcPr>
          <w:p>
            <w:pPr>
              <w:pStyle w:val="TableContents"/>
              <w:bidi w:val="0"/>
              <w:spacing w:before="0" w:after="0"/>
              <w:jc w:val="left"/>
              <w:rPr/>
            </w:pPr>
            <w:r>
              <w:rPr/>
              <w:t> </w:t>
            </w:r>
          </w:p>
        </w:tc>
      </w:tr>
      <w:tr>
        <w:trPr/>
        <w:tc>
          <w:tcPr>
            <w:tcW w:w="3620" w:type="dxa"/>
            <w:tcBorders>
              <w:bottom w:val="single" w:sz="12" w:space="0" w:color="000000"/>
            </w:tcBorders>
            <w:shd w:fill="CCEEFF" w:val="clear"/>
            <w:tcMar>
              <w:bottom w:w="28" w:type="dxa"/>
            </w:tcMar>
          </w:tcPr>
          <w:p>
            <w:pPr>
              <w:pStyle w:val="TableContents"/>
              <w:bidi w:val="0"/>
              <w:spacing w:before="0" w:after="0"/>
              <w:ind w:left="0" w:right="0" w:hanging="0"/>
              <w:jc w:val="left"/>
              <w:rPr>
                <w:b w:val="false"/>
              </w:rPr>
            </w:pPr>
            <w:r>
              <w:rPr>
                <w:b w:val="false"/>
              </w:rPr>
              <w:t>Net interest income after provision for loan losses</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13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130,808</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227"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19</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17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29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130,827</w:t>
            </w:r>
          </w:p>
        </w:tc>
        <w:tc>
          <w:tcPr>
            <w:tcW w:w="135"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3620" w:type="dxa"/>
            <w:tcBorders/>
          </w:tcPr>
          <w:p>
            <w:pPr>
              <w:pStyle w:val="TableContents"/>
              <w:bidi w:val="0"/>
              <w:spacing w:before="0" w:after="0"/>
              <w:ind w:left="144" w:right="0" w:hanging="144"/>
              <w:jc w:val="left"/>
              <w:rPr>
                <w:b w:val="false"/>
                <w:i/>
              </w:rPr>
            </w:pPr>
            <w:r>
              <w:rPr>
                <w:b w:val="false"/>
                <w:i/>
              </w:rPr>
              <w:t>Noninterest income</w:t>
            </w:r>
          </w:p>
        </w:tc>
        <w:tc>
          <w:tcPr>
            <w:tcW w:w="90" w:type="dxa"/>
            <w:tcBorders/>
          </w:tcPr>
          <w:p>
            <w:pPr>
              <w:pStyle w:val="TableContents"/>
              <w:bidi w:val="0"/>
              <w:spacing w:before="0" w:after="283"/>
              <w:jc w:val="both"/>
              <w:rPr/>
            </w:pPr>
            <w:r>
              <w:rPr/>
              <w:t> </w:t>
            </w:r>
          </w:p>
        </w:tc>
        <w:tc>
          <w:tcPr>
            <w:tcW w:w="170" w:type="dxa"/>
            <w:tcBorders/>
          </w:tcPr>
          <w:p>
            <w:pPr>
              <w:pStyle w:val="TableContents"/>
              <w:bidi w:val="0"/>
              <w:spacing w:before="0" w:after="283"/>
              <w:jc w:val="both"/>
              <w:rPr/>
            </w:pPr>
            <w:r>
              <w:rPr/>
              <w:t> </w:t>
            </w:r>
          </w:p>
        </w:tc>
        <w:tc>
          <w:tcPr>
            <w:tcW w:w="1130"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293" w:type="dxa"/>
            <w:tcBorders/>
          </w:tcPr>
          <w:p>
            <w:pPr>
              <w:pStyle w:val="TableContents"/>
              <w:bidi w:val="0"/>
              <w:spacing w:before="0" w:after="283"/>
              <w:jc w:val="both"/>
              <w:rPr/>
            </w:pPr>
            <w:r>
              <w:rPr/>
              <w:t> </w:t>
            </w:r>
          </w:p>
        </w:tc>
        <w:tc>
          <w:tcPr>
            <w:tcW w:w="1227" w:type="dxa"/>
            <w:tcBorders/>
          </w:tcPr>
          <w:p>
            <w:pPr>
              <w:pStyle w:val="TableContents"/>
              <w:bidi w:val="0"/>
              <w:spacing w:before="0" w:after="283"/>
              <w:jc w:val="both"/>
              <w:rPr/>
            </w:pPr>
            <w:r>
              <w:rPr/>
              <w:t> </w:t>
            </w:r>
          </w:p>
        </w:tc>
        <w:tc>
          <w:tcPr>
            <w:tcW w:w="185"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170" w:type="dxa"/>
            <w:tcBorders/>
          </w:tcPr>
          <w:p>
            <w:pPr>
              <w:pStyle w:val="TableContents"/>
              <w:bidi w:val="0"/>
              <w:spacing w:before="0" w:after="283"/>
              <w:jc w:val="both"/>
              <w:rPr/>
            </w:pPr>
            <w:r>
              <w:rPr/>
              <w:t> </w:t>
            </w:r>
          </w:p>
        </w:tc>
        <w:tc>
          <w:tcPr>
            <w:tcW w:w="1175" w:type="dxa"/>
            <w:tcBorders/>
          </w:tcPr>
          <w:p>
            <w:pPr>
              <w:pStyle w:val="TableContents"/>
              <w:bidi w:val="0"/>
              <w:spacing w:before="0" w:after="283"/>
              <w:jc w:val="both"/>
              <w:rPr/>
            </w:pPr>
            <w:r>
              <w:rPr/>
              <w:t> </w:t>
            </w:r>
          </w:p>
        </w:tc>
        <w:tc>
          <w:tcPr>
            <w:tcW w:w="185"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170" w:type="dxa"/>
            <w:tcBorders/>
          </w:tcPr>
          <w:p>
            <w:pPr>
              <w:pStyle w:val="TableContents"/>
              <w:bidi w:val="0"/>
              <w:spacing w:before="0" w:after="283"/>
              <w:jc w:val="both"/>
              <w:rPr/>
            </w:pPr>
            <w:r>
              <w:rPr/>
              <w:t> </w:t>
            </w:r>
          </w:p>
        </w:tc>
        <w:tc>
          <w:tcPr>
            <w:tcW w:w="1295" w:type="dxa"/>
            <w:tcBorders/>
          </w:tcPr>
          <w:p>
            <w:pPr>
              <w:pStyle w:val="TableContents"/>
              <w:bidi w:val="0"/>
              <w:spacing w:before="0" w:after="283"/>
              <w:jc w:val="both"/>
              <w:rPr/>
            </w:pPr>
            <w:r>
              <w:rPr/>
              <w:t> </w:t>
            </w:r>
          </w:p>
        </w:tc>
        <w:tc>
          <w:tcPr>
            <w:tcW w:w="135" w:type="dxa"/>
            <w:tcBorders/>
          </w:tcPr>
          <w:p>
            <w:pPr>
              <w:pStyle w:val="TableContents"/>
              <w:bidi w:val="0"/>
              <w:spacing w:before="0" w:after="283"/>
              <w:jc w:val="both"/>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Service charges on deposit accounts</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30" w:type="dxa"/>
            <w:tcBorders/>
            <w:shd w:fill="CCEEFF" w:val="clear"/>
          </w:tcPr>
          <w:p>
            <w:pPr>
              <w:pStyle w:val="TableContents"/>
              <w:bidi w:val="0"/>
              <w:spacing w:before="0" w:after="0"/>
              <w:ind w:left="0" w:right="0" w:hanging="0"/>
              <w:jc w:val="right"/>
              <w:rPr/>
            </w:pPr>
            <w:r>
              <w:rPr/>
              <w:t>5,194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w:t>
            </w:r>
          </w:p>
        </w:tc>
        <w:tc>
          <w:tcPr>
            <w:tcW w:w="1227"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75"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295" w:type="dxa"/>
            <w:tcBorders/>
            <w:shd w:fill="CCEEFF" w:val="clear"/>
          </w:tcPr>
          <w:p>
            <w:pPr>
              <w:pStyle w:val="TableContents"/>
              <w:bidi w:val="0"/>
              <w:spacing w:before="0" w:after="0"/>
              <w:ind w:left="0" w:right="0" w:hanging="0"/>
              <w:jc w:val="right"/>
              <w:rPr/>
            </w:pPr>
            <w:r>
              <w:rPr/>
              <w:t>5,194</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Card services income</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6,613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6,613</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Retirement plan administration fees</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17,347</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(419</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16,928</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Wealth management</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10,345</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600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3</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10,948</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Insurance services</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 xml:space="preserve">-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4,177</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4,177</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Bank owned life insurance income</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2,505</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2,505</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Net securities gains</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175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175</w:t>
            </w:r>
          </w:p>
        </w:tc>
        <w:tc>
          <w:tcPr>
            <w:tcW w:w="135" w:type="dxa"/>
            <w:tcBorders/>
            <w:shd w:fill="CCEEFF" w:val="clear"/>
          </w:tcPr>
          <w:p>
            <w:pPr>
              <w:pStyle w:val="TableContents"/>
              <w:bidi w:val="0"/>
              <w:spacing w:before="0" w:after="0"/>
              <w:jc w:val="left"/>
              <w:rPr/>
            </w:pPr>
            <w:r>
              <w:rPr/>
              <w:t> </w:t>
            </w:r>
          </w:p>
        </w:tc>
      </w:tr>
      <w:tr>
        <w:trPr/>
        <w:tc>
          <w:tcPr>
            <w:tcW w:w="3620" w:type="dxa"/>
            <w:tcBorders>
              <w:bottom w:val="single" w:sz="12" w:space="0" w:color="000000"/>
            </w:tcBorders>
            <w:tcMar>
              <w:bottom w:w="28" w:type="dxa"/>
            </w:tcMar>
          </w:tcPr>
          <w:p>
            <w:pPr>
              <w:pStyle w:val="TableContents"/>
              <w:bidi w:val="0"/>
              <w:spacing w:before="0" w:after="0"/>
              <w:ind w:left="0" w:right="0" w:hanging="0"/>
              <w:jc w:val="left"/>
              <w:rPr>
                <w:b w:val="false"/>
              </w:rPr>
            </w:pPr>
            <w:r>
              <w:rPr>
                <w:b w:val="false"/>
              </w:rPr>
              <w:t>Other</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right"/>
              <w:rPr/>
            </w:pPr>
            <w:r>
              <w:rPr/>
              <w:t>4,643</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27" w:type="dxa"/>
            <w:tcBorders>
              <w:bottom w:val="single" w:sz="12" w:space="0" w:color="000000"/>
            </w:tcBorders>
            <w:tcMar>
              <w:bottom w:w="28" w:type="dxa"/>
            </w:tcMar>
          </w:tcPr>
          <w:p>
            <w:pPr>
              <w:pStyle w:val="TableContents"/>
              <w:bidi w:val="0"/>
              <w:spacing w:before="0" w:after="0"/>
              <w:ind w:left="0" w:right="0" w:hanging="0"/>
              <w:jc w:val="right"/>
              <w:rPr/>
            </w:pPr>
            <w:r>
              <w:rPr/>
              <w:t>155</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75" w:type="dxa"/>
            <w:tcBorders>
              <w:bottom w:val="single" w:sz="12" w:space="0" w:color="000000"/>
            </w:tcBorders>
            <w:tcMar>
              <w:bottom w:w="28" w:type="dxa"/>
            </w:tcMar>
          </w:tcPr>
          <w:p>
            <w:pPr>
              <w:pStyle w:val="TableContents"/>
              <w:bidi w:val="0"/>
              <w:spacing w:before="0" w:after="0"/>
              <w:ind w:left="0" w:right="0" w:hanging="0"/>
              <w:jc w:val="right"/>
              <w:rPr/>
            </w:pPr>
            <w:r>
              <w:rPr/>
              <w:t>(1,611</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95" w:type="dxa"/>
            <w:tcBorders>
              <w:bottom w:val="single" w:sz="12" w:space="0" w:color="000000"/>
            </w:tcBorders>
            <w:tcMar>
              <w:bottom w:w="28" w:type="dxa"/>
            </w:tcMar>
          </w:tcPr>
          <w:p>
            <w:pPr>
              <w:pStyle w:val="TableContents"/>
              <w:bidi w:val="0"/>
              <w:spacing w:before="0" w:after="0"/>
              <w:ind w:left="0" w:right="0" w:hanging="0"/>
              <w:jc w:val="right"/>
              <w:rPr/>
            </w:pPr>
            <w:r>
              <w:rPr/>
              <w:t>3,187</w:t>
            </w:r>
          </w:p>
        </w:tc>
        <w:tc>
          <w:tcPr>
            <w:tcW w:w="135" w:type="dxa"/>
            <w:tcBorders>
              <w:bottom w:val="single" w:sz="12" w:space="0" w:color="000000"/>
            </w:tcBorders>
            <w:tcMar>
              <w:bottom w:w="28" w:type="dxa"/>
            </w:tcMar>
          </w:tcPr>
          <w:p>
            <w:pPr>
              <w:pStyle w:val="TableContents"/>
              <w:bidi w:val="0"/>
              <w:spacing w:before="0" w:after="0"/>
              <w:jc w:val="left"/>
              <w:rPr/>
            </w:pPr>
            <w:r>
              <w:rPr/>
              <w:t> </w:t>
            </w:r>
          </w:p>
        </w:tc>
      </w:tr>
      <w:tr>
        <w:trPr/>
        <w:tc>
          <w:tcPr>
            <w:tcW w:w="3620" w:type="dxa"/>
            <w:tcBorders>
              <w:bottom w:val="single" w:sz="12" w:space="0" w:color="000000"/>
            </w:tcBorders>
            <w:shd w:fill="CCEEFF" w:val="clear"/>
            <w:tcMar>
              <w:bottom w:w="28" w:type="dxa"/>
            </w:tcMar>
          </w:tcPr>
          <w:p>
            <w:pPr>
              <w:pStyle w:val="TableContents"/>
              <w:bidi w:val="0"/>
              <w:spacing w:before="0" w:after="0"/>
              <w:ind w:left="0" w:right="0" w:hanging="0"/>
              <w:jc w:val="left"/>
              <w:rPr>
                <w:b w:val="false"/>
              </w:rPr>
            </w:pPr>
            <w:r>
              <w:rPr>
                <w:b w:val="false"/>
              </w:rPr>
              <w:t>Total noninterest income</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13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29,475</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227"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18,102</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17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2,150</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29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49,727</w:t>
            </w:r>
          </w:p>
        </w:tc>
        <w:tc>
          <w:tcPr>
            <w:tcW w:w="135"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3620" w:type="dxa"/>
            <w:tcBorders/>
          </w:tcPr>
          <w:p>
            <w:pPr>
              <w:pStyle w:val="TableContents"/>
              <w:bidi w:val="0"/>
              <w:spacing w:before="0" w:after="0"/>
              <w:ind w:left="144" w:right="0" w:hanging="144"/>
              <w:jc w:val="left"/>
              <w:rPr>
                <w:b w:val="false"/>
                <w:i/>
              </w:rPr>
            </w:pPr>
            <w:r>
              <w:rPr>
                <w:b w:val="false"/>
                <w:i/>
              </w:rPr>
              <w:t>Noninterest expense</w:t>
            </w:r>
          </w:p>
        </w:tc>
        <w:tc>
          <w:tcPr>
            <w:tcW w:w="90" w:type="dxa"/>
            <w:tcBorders/>
          </w:tcPr>
          <w:p>
            <w:pPr>
              <w:pStyle w:val="TableContents"/>
              <w:bidi w:val="0"/>
              <w:spacing w:before="0" w:after="283"/>
              <w:jc w:val="both"/>
              <w:rPr/>
            </w:pPr>
            <w:r>
              <w:rPr/>
              <w:t> </w:t>
            </w:r>
          </w:p>
        </w:tc>
        <w:tc>
          <w:tcPr>
            <w:tcW w:w="170" w:type="dxa"/>
            <w:tcBorders/>
          </w:tcPr>
          <w:p>
            <w:pPr>
              <w:pStyle w:val="TableContents"/>
              <w:bidi w:val="0"/>
              <w:spacing w:before="0" w:after="283"/>
              <w:jc w:val="both"/>
              <w:rPr/>
            </w:pPr>
            <w:r>
              <w:rPr/>
              <w:t> </w:t>
            </w:r>
          </w:p>
        </w:tc>
        <w:tc>
          <w:tcPr>
            <w:tcW w:w="1130"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293" w:type="dxa"/>
            <w:tcBorders/>
          </w:tcPr>
          <w:p>
            <w:pPr>
              <w:pStyle w:val="TableContents"/>
              <w:bidi w:val="0"/>
              <w:spacing w:before="0" w:after="283"/>
              <w:jc w:val="both"/>
              <w:rPr/>
            </w:pPr>
            <w:r>
              <w:rPr/>
              <w:t> </w:t>
            </w:r>
          </w:p>
        </w:tc>
        <w:tc>
          <w:tcPr>
            <w:tcW w:w="1227" w:type="dxa"/>
            <w:tcBorders/>
          </w:tcPr>
          <w:p>
            <w:pPr>
              <w:pStyle w:val="TableContents"/>
              <w:bidi w:val="0"/>
              <w:spacing w:before="0" w:after="283"/>
              <w:jc w:val="both"/>
              <w:rPr/>
            </w:pPr>
            <w:r>
              <w:rPr/>
              <w:t> </w:t>
            </w:r>
          </w:p>
        </w:tc>
        <w:tc>
          <w:tcPr>
            <w:tcW w:w="185"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170" w:type="dxa"/>
            <w:tcBorders/>
          </w:tcPr>
          <w:p>
            <w:pPr>
              <w:pStyle w:val="TableContents"/>
              <w:bidi w:val="0"/>
              <w:spacing w:before="0" w:after="283"/>
              <w:jc w:val="both"/>
              <w:rPr/>
            </w:pPr>
            <w:r>
              <w:rPr/>
              <w:t> </w:t>
            </w:r>
          </w:p>
        </w:tc>
        <w:tc>
          <w:tcPr>
            <w:tcW w:w="1175" w:type="dxa"/>
            <w:tcBorders/>
          </w:tcPr>
          <w:p>
            <w:pPr>
              <w:pStyle w:val="TableContents"/>
              <w:bidi w:val="0"/>
              <w:spacing w:before="0" w:after="283"/>
              <w:jc w:val="both"/>
              <w:rPr/>
            </w:pPr>
            <w:r>
              <w:rPr/>
              <w:t> </w:t>
            </w:r>
          </w:p>
        </w:tc>
        <w:tc>
          <w:tcPr>
            <w:tcW w:w="185" w:type="dxa"/>
            <w:tcBorders/>
          </w:tcPr>
          <w:p>
            <w:pPr>
              <w:pStyle w:val="TableContents"/>
              <w:bidi w:val="0"/>
              <w:spacing w:before="0" w:after="283"/>
              <w:jc w:val="both"/>
              <w:rPr/>
            </w:pPr>
            <w:r>
              <w:rPr/>
              <w:t> </w:t>
            </w:r>
          </w:p>
        </w:tc>
        <w:tc>
          <w:tcPr>
            <w:tcW w:w="90" w:type="dxa"/>
            <w:tcBorders/>
          </w:tcPr>
          <w:p>
            <w:pPr>
              <w:pStyle w:val="TableContents"/>
              <w:bidi w:val="0"/>
              <w:spacing w:before="0" w:after="283"/>
              <w:jc w:val="both"/>
              <w:rPr/>
            </w:pPr>
            <w:r>
              <w:rPr/>
              <w:t> </w:t>
            </w:r>
          </w:p>
        </w:tc>
        <w:tc>
          <w:tcPr>
            <w:tcW w:w="170" w:type="dxa"/>
            <w:tcBorders/>
          </w:tcPr>
          <w:p>
            <w:pPr>
              <w:pStyle w:val="TableContents"/>
              <w:bidi w:val="0"/>
              <w:spacing w:before="0" w:after="283"/>
              <w:jc w:val="both"/>
              <w:rPr/>
            </w:pPr>
            <w:r>
              <w:rPr/>
              <w:t> </w:t>
            </w:r>
          </w:p>
        </w:tc>
        <w:tc>
          <w:tcPr>
            <w:tcW w:w="1295" w:type="dxa"/>
            <w:tcBorders/>
          </w:tcPr>
          <w:p>
            <w:pPr>
              <w:pStyle w:val="TableContents"/>
              <w:bidi w:val="0"/>
              <w:spacing w:before="0" w:after="283"/>
              <w:jc w:val="both"/>
              <w:rPr/>
            </w:pPr>
            <w:r>
              <w:rPr/>
              <w:t> </w:t>
            </w:r>
          </w:p>
        </w:tc>
        <w:tc>
          <w:tcPr>
            <w:tcW w:w="135" w:type="dxa"/>
            <w:tcBorders/>
          </w:tcPr>
          <w:p>
            <w:pPr>
              <w:pStyle w:val="TableContents"/>
              <w:bidi w:val="0"/>
              <w:spacing w:before="0" w:after="283"/>
              <w:jc w:val="both"/>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Salaries and employee benefits</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30" w:type="dxa"/>
            <w:tcBorders/>
            <w:shd w:fill="CCEEFF" w:val="clear"/>
          </w:tcPr>
          <w:p>
            <w:pPr>
              <w:pStyle w:val="TableContents"/>
              <w:bidi w:val="0"/>
              <w:spacing w:before="0" w:after="0"/>
              <w:ind w:left="0" w:right="0" w:hanging="0"/>
              <w:jc w:val="right"/>
              <w:rPr/>
            </w:pPr>
            <w:r>
              <w:rPr/>
              <w:t>56,941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w:t>
            </w:r>
          </w:p>
        </w:tc>
        <w:tc>
          <w:tcPr>
            <w:tcW w:w="1227" w:type="dxa"/>
            <w:tcBorders/>
            <w:shd w:fill="CCEEFF" w:val="clear"/>
          </w:tcPr>
          <w:p>
            <w:pPr>
              <w:pStyle w:val="TableContents"/>
              <w:bidi w:val="0"/>
              <w:spacing w:before="0" w:after="0"/>
              <w:ind w:left="0" w:right="0" w:hanging="0"/>
              <w:jc w:val="right"/>
              <w:rPr/>
            </w:pPr>
            <w:r>
              <w:rPr/>
              <w:t>9,240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75" w:type="dxa"/>
            <w:tcBorders/>
            <w:shd w:fill="CCEEFF" w:val="clear"/>
          </w:tcPr>
          <w:p>
            <w:pPr>
              <w:pStyle w:val="TableContents"/>
              <w:bidi w:val="0"/>
              <w:spacing w:before="0" w:after="0"/>
              <w:ind w:left="0" w:right="0" w:hanging="0"/>
              <w:jc w:val="right"/>
              <w:rPr/>
            </w:pPr>
            <w:r>
              <w:rPr/>
              <w:t>2,823</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295" w:type="dxa"/>
            <w:tcBorders/>
            <w:shd w:fill="CCEEFF" w:val="clear"/>
          </w:tcPr>
          <w:p>
            <w:pPr>
              <w:pStyle w:val="TableContents"/>
              <w:bidi w:val="0"/>
              <w:spacing w:before="0" w:after="0"/>
              <w:ind w:left="0" w:right="0" w:hanging="0"/>
              <w:jc w:val="right"/>
              <w:rPr/>
            </w:pPr>
            <w:r>
              <w:rPr/>
              <w:t>69,004</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Technology and data services</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11,411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270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169</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11,850</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Occupancy</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9,183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224</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68</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9,475</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Professional fees and outside services</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5,380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687</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(405</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5,662</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Office supplies and postage</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1,961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78</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21</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2,060</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FDIC assessment</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1,984</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1,984</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Marketing</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972</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(41</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6</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937</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Amortization of intangible assets</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2,729</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408</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54</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3,191</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Loan collection and other real estate owned, net</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544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 xml:space="preserve">- </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544</w:t>
            </w:r>
          </w:p>
        </w:tc>
        <w:tc>
          <w:tcPr>
            <w:tcW w:w="135" w:type="dxa"/>
            <w:tcBorders/>
            <w:shd w:fill="CCEEFF" w:val="cle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Acquisition expenses</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 xml:space="preserve">-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 </w:t>
            </w:r>
          </w:p>
        </w:tc>
        <w:tc>
          <w:tcPr>
            <w:tcW w:w="1227"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175" w:type="dxa"/>
            <w:tcBorders/>
          </w:tcPr>
          <w:p>
            <w:pPr>
              <w:pStyle w:val="TableContents"/>
              <w:bidi w:val="0"/>
              <w:spacing w:before="0" w:after="0"/>
              <w:ind w:left="0" w:right="0" w:hanging="0"/>
              <w:jc w:val="right"/>
              <w:rPr/>
            </w:pPr>
            <w:r>
              <w:rPr/>
              <w:t xml:space="preserve">- </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 </w:t>
            </w:r>
          </w:p>
        </w:tc>
        <w:tc>
          <w:tcPr>
            <w:tcW w:w="1295" w:type="dxa"/>
            <w:tcBorders/>
          </w:tcPr>
          <w:p>
            <w:pPr>
              <w:pStyle w:val="TableContents"/>
              <w:bidi w:val="0"/>
              <w:spacing w:before="0" w:after="0"/>
              <w:ind w:left="0" w:right="0" w:hanging="0"/>
              <w:jc w:val="right"/>
              <w:rPr/>
            </w:pPr>
            <w:r>
              <w:rPr/>
              <w:t xml:space="preserve">- </w:t>
            </w:r>
          </w:p>
        </w:tc>
        <w:tc>
          <w:tcPr>
            <w:tcW w:w="135" w:type="dxa"/>
            <w:tcBorders/>
          </w:tcPr>
          <w:p>
            <w:pPr>
              <w:pStyle w:val="TableContents"/>
              <w:bidi w:val="0"/>
              <w:spacing w:before="0" w:after="0"/>
              <w:jc w:val="left"/>
              <w:rPr/>
            </w:pPr>
            <w:r>
              <w:rPr/>
              <w:t> </w:t>
            </w:r>
          </w:p>
        </w:tc>
      </w:tr>
      <w:tr>
        <w:trPr/>
        <w:tc>
          <w:tcPr>
            <w:tcW w:w="3620" w:type="dxa"/>
            <w:tcBorders>
              <w:bottom w:val="single" w:sz="12" w:space="0" w:color="000000"/>
            </w:tcBorders>
            <w:shd w:fill="CCEEFF" w:val="clear"/>
            <w:tcMar>
              <w:bottom w:w="28" w:type="dxa"/>
            </w:tcMar>
          </w:tcPr>
          <w:p>
            <w:pPr>
              <w:pStyle w:val="TableContents"/>
              <w:bidi w:val="0"/>
              <w:spacing w:before="0" w:after="0"/>
              <w:ind w:left="0" w:right="0" w:hanging="0"/>
              <w:jc w:val="left"/>
              <w:rPr>
                <w:b w:val="false"/>
              </w:rPr>
            </w:pPr>
            <w:r>
              <w:rPr>
                <w:b w:val="false"/>
              </w:rPr>
              <w:t>Other</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8,078</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227"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280</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17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(1,627</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29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6,731</w:t>
            </w:r>
          </w:p>
        </w:tc>
        <w:tc>
          <w:tcPr>
            <w:tcW w:w="135"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3620" w:type="dxa"/>
            <w:tcBorders>
              <w:bottom w:val="single" w:sz="12" w:space="0" w:color="000000"/>
            </w:tcBorders>
            <w:tcMar>
              <w:bottom w:w="28" w:type="dxa"/>
            </w:tcMar>
          </w:tcPr>
          <w:p>
            <w:pPr>
              <w:pStyle w:val="TableContents"/>
              <w:bidi w:val="0"/>
              <w:spacing w:before="0" w:after="0"/>
              <w:ind w:left="0" w:right="0" w:hanging="0"/>
              <w:jc w:val="left"/>
              <w:rPr>
                <w:b w:val="false"/>
              </w:rPr>
            </w:pPr>
            <w:r>
              <w:rPr>
                <w:b w:val="false"/>
              </w:rPr>
              <w:t>Total noninterest expense</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1130" w:type="dxa"/>
            <w:tcBorders>
              <w:bottom w:val="single" w:sz="12" w:space="0" w:color="000000"/>
            </w:tcBorders>
            <w:tcMar>
              <w:bottom w:w="28" w:type="dxa"/>
            </w:tcMar>
          </w:tcPr>
          <w:p>
            <w:pPr>
              <w:pStyle w:val="TableContents"/>
              <w:bidi w:val="0"/>
              <w:spacing w:before="0" w:after="0"/>
              <w:ind w:left="0" w:right="0" w:hanging="0"/>
              <w:jc w:val="right"/>
              <w:rPr/>
            </w:pPr>
            <w:r>
              <w:rPr/>
              <w:t>99,183</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1227" w:type="dxa"/>
            <w:tcBorders>
              <w:bottom w:val="single" w:sz="12" w:space="0" w:color="000000"/>
            </w:tcBorders>
            <w:tcMar>
              <w:bottom w:w="28" w:type="dxa"/>
            </w:tcMar>
          </w:tcPr>
          <w:p>
            <w:pPr>
              <w:pStyle w:val="TableContents"/>
              <w:bidi w:val="0"/>
              <w:spacing w:before="0" w:after="0"/>
              <w:ind w:left="0" w:right="0" w:hanging="0"/>
              <w:jc w:val="right"/>
              <w:rPr/>
            </w:pPr>
            <w:r>
              <w:rPr/>
              <w:t>11,146</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1175" w:type="dxa"/>
            <w:tcBorders>
              <w:bottom w:val="single" w:sz="12" w:space="0" w:color="000000"/>
            </w:tcBorders>
            <w:tcMar>
              <w:bottom w:w="28" w:type="dxa"/>
            </w:tcMar>
          </w:tcPr>
          <w:p>
            <w:pPr>
              <w:pStyle w:val="TableContents"/>
              <w:bidi w:val="0"/>
              <w:spacing w:before="0" w:after="0"/>
              <w:ind w:left="0" w:right="0" w:hanging="0"/>
              <w:jc w:val="right"/>
              <w:rPr/>
            </w:pPr>
            <w:r>
              <w:rPr/>
              <w:t>1,109</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w:t>
            </w:r>
          </w:p>
        </w:tc>
        <w:tc>
          <w:tcPr>
            <w:tcW w:w="1295" w:type="dxa"/>
            <w:tcBorders>
              <w:bottom w:val="single" w:sz="12" w:space="0" w:color="000000"/>
            </w:tcBorders>
            <w:tcMar>
              <w:bottom w:w="28" w:type="dxa"/>
            </w:tcMar>
          </w:tcPr>
          <w:p>
            <w:pPr>
              <w:pStyle w:val="TableContents"/>
              <w:bidi w:val="0"/>
              <w:spacing w:before="0" w:after="0"/>
              <w:ind w:left="0" w:right="0" w:hanging="0"/>
              <w:jc w:val="right"/>
              <w:rPr/>
            </w:pPr>
            <w:r>
              <w:rPr/>
              <w:t>111,438</w:t>
            </w:r>
          </w:p>
        </w:tc>
        <w:tc>
          <w:tcPr>
            <w:tcW w:w="135" w:type="dxa"/>
            <w:tcBorders>
              <w:bottom w:val="single" w:sz="12" w:space="0" w:color="000000"/>
            </w:tcBorders>
            <w:tcMar>
              <w:bottom w:w="28" w:type="dxa"/>
            </w:tcMar>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Income before income tax expense</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30" w:type="dxa"/>
            <w:tcBorders/>
            <w:shd w:fill="CCEEFF" w:val="clear"/>
          </w:tcPr>
          <w:p>
            <w:pPr>
              <w:pStyle w:val="TableContents"/>
              <w:bidi w:val="0"/>
              <w:spacing w:before="0" w:after="0"/>
              <w:ind w:left="0" w:right="0" w:hanging="0"/>
              <w:jc w:val="right"/>
              <w:rPr/>
            </w:pPr>
            <w:r>
              <w:rPr/>
              <w:t>61,100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w:t>
            </w:r>
          </w:p>
        </w:tc>
        <w:tc>
          <w:tcPr>
            <w:tcW w:w="1227" w:type="dxa"/>
            <w:tcBorders/>
            <w:shd w:fill="CCEEFF" w:val="clear"/>
          </w:tcPr>
          <w:p>
            <w:pPr>
              <w:pStyle w:val="TableContents"/>
              <w:bidi w:val="0"/>
              <w:spacing w:before="0" w:after="0"/>
              <w:ind w:left="0" w:right="0" w:hanging="0"/>
              <w:jc w:val="right"/>
              <w:rPr/>
            </w:pPr>
            <w:r>
              <w:rPr/>
              <w:t>6,975</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175" w:type="dxa"/>
            <w:tcBorders/>
            <w:shd w:fill="CCEEFF" w:val="clear"/>
          </w:tcPr>
          <w:p>
            <w:pPr>
              <w:pStyle w:val="TableContents"/>
              <w:bidi w:val="0"/>
              <w:spacing w:before="0" w:after="0"/>
              <w:ind w:left="0" w:right="0" w:hanging="0"/>
              <w:jc w:val="right"/>
              <w:rPr/>
            </w:pPr>
            <w:r>
              <w:rPr/>
              <w:t>1,041</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w:t>
            </w:r>
          </w:p>
        </w:tc>
        <w:tc>
          <w:tcPr>
            <w:tcW w:w="1295" w:type="dxa"/>
            <w:tcBorders/>
            <w:shd w:fill="CCEEFF" w:val="clear"/>
          </w:tcPr>
          <w:p>
            <w:pPr>
              <w:pStyle w:val="TableContents"/>
              <w:bidi w:val="0"/>
              <w:spacing w:before="0" w:after="0"/>
              <w:ind w:left="0" w:right="0" w:hanging="0"/>
              <w:jc w:val="right"/>
              <w:rPr/>
            </w:pPr>
            <w:r>
              <w:rPr/>
              <w:t>69,116</w:t>
            </w:r>
          </w:p>
        </w:tc>
        <w:tc>
          <w:tcPr>
            <w:tcW w:w="135" w:type="dxa"/>
            <w:tcBorders/>
            <w:shd w:fill="CCEEFF" w:val="clear"/>
          </w:tcPr>
          <w:p>
            <w:pPr>
              <w:pStyle w:val="TableContents"/>
              <w:bidi w:val="0"/>
              <w:spacing w:before="0" w:after="0"/>
              <w:jc w:val="left"/>
              <w:rPr/>
            </w:pPr>
            <w:r>
              <w:rPr/>
              <w:t> </w:t>
            </w:r>
          </w:p>
        </w:tc>
      </w:tr>
      <w:tr>
        <w:trPr/>
        <w:tc>
          <w:tcPr>
            <w:tcW w:w="3620" w:type="dxa"/>
            <w:tcBorders>
              <w:bottom w:val="single" w:sz="12" w:space="0" w:color="000000"/>
            </w:tcBorders>
            <w:tcMar>
              <w:bottom w:w="28" w:type="dxa"/>
            </w:tcMar>
          </w:tcPr>
          <w:p>
            <w:pPr>
              <w:pStyle w:val="TableContents"/>
              <w:bidi w:val="0"/>
              <w:spacing w:before="0" w:after="0"/>
              <w:ind w:left="0" w:right="0" w:hanging="0"/>
              <w:jc w:val="left"/>
              <w:rPr>
                <w:b w:val="false"/>
              </w:rPr>
            </w:pPr>
            <w:r>
              <w:rPr>
                <w:b w:val="false"/>
              </w:rPr>
              <w:t>Income tax expense</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right"/>
              <w:rPr/>
            </w:pPr>
            <w:r>
              <w:rPr/>
              <w:t>14,604</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27" w:type="dxa"/>
            <w:tcBorders>
              <w:bottom w:val="single" w:sz="12" w:space="0" w:color="000000"/>
            </w:tcBorders>
            <w:tcMar>
              <w:bottom w:w="28" w:type="dxa"/>
            </w:tcMar>
          </w:tcPr>
          <w:p>
            <w:pPr>
              <w:pStyle w:val="TableContents"/>
              <w:bidi w:val="0"/>
              <w:spacing w:before="0" w:after="0"/>
              <w:ind w:left="0" w:right="0" w:hanging="0"/>
              <w:jc w:val="right"/>
              <w:rPr/>
            </w:pPr>
            <w:r>
              <w:rPr/>
              <w:t>1,482</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75" w:type="dxa"/>
            <w:tcBorders>
              <w:bottom w:val="single" w:sz="12" w:space="0" w:color="000000"/>
            </w:tcBorders>
            <w:tcMar>
              <w:bottom w:w="28" w:type="dxa"/>
            </w:tcMar>
          </w:tcPr>
          <w:p>
            <w:pPr>
              <w:pStyle w:val="TableContents"/>
              <w:bidi w:val="0"/>
              <w:spacing w:before="0" w:after="0"/>
              <w:ind w:left="0" w:right="0" w:hanging="0"/>
              <w:jc w:val="right"/>
              <w:rPr/>
            </w:pPr>
            <w:r>
              <w:rPr/>
              <w:t xml:space="preserve">- </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95" w:type="dxa"/>
            <w:tcBorders>
              <w:bottom w:val="single" w:sz="12" w:space="0" w:color="000000"/>
            </w:tcBorders>
            <w:tcMar>
              <w:bottom w:w="28" w:type="dxa"/>
            </w:tcMar>
          </w:tcPr>
          <w:p>
            <w:pPr>
              <w:pStyle w:val="TableContents"/>
              <w:bidi w:val="0"/>
              <w:spacing w:before="0" w:after="0"/>
              <w:ind w:left="0" w:right="0" w:hanging="0"/>
              <w:jc w:val="right"/>
              <w:rPr/>
            </w:pPr>
            <w:r>
              <w:rPr/>
              <w:t>16,086</w:t>
            </w:r>
          </w:p>
        </w:tc>
        <w:tc>
          <w:tcPr>
            <w:tcW w:w="135" w:type="dxa"/>
            <w:tcBorders>
              <w:bottom w:val="single" w:sz="12" w:space="0" w:color="000000"/>
            </w:tcBorders>
            <w:tcMar>
              <w:bottom w:w="28" w:type="dxa"/>
            </w:tcMar>
          </w:tcPr>
          <w:p>
            <w:pPr>
              <w:pStyle w:val="TableContents"/>
              <w:bidi w:val="0"/>
              <w:spacing w:before="0" w:after="0"/>
              <w:jc w:val="left"/>
              <w:rPr/>
            </w:pPr>
            <w:r>
              <w:rPr/>
              <w:t> </w:t>
            </w:r>
          </w:p>
        </w:tc>
      </w:tr>
      <w:tr>
        <w:trPr/>
        <w:tc>
          <w:tcPr>
            <w:tcW w:w="3620" w:type="dxa"/>
            <w:tcBorders>
              <w:bottom w:val="single" w:sz="12" w:space="0" w:color="000000"/>
            </w:tcBorders>
            <w:shd w:fill="CCEEFF" w:val="clear"/>
            <w:tcMar>
              <w:bottom w:w="28" w:type="dxa"/>
            </w:tcMar>
          </w:tcPr>
          <w:p>
            <w:pPr>
              <w:pStyle w:val="TableContents"/>
              <w:bidi w:val="0"/>
              <w:spacing w:before="0" w:after="0"/>
              <w:ind w:left="0" w:right="0" w:hanging="0"/>
              <w:jc w:val="left"/>
              <w:rPr>
                <w:b w:val="false"/>
              </w:rPr>
            </w:pPr>
            <w:r>
              <w:rPr>
                <w:b w:val="false"/>
              </w:rPr>
              <w:t>Net income</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13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46,496</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227"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5,493</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17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1,041</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w:t>
            </w:r>
          </w:p>
        </w:tc>
        <w:tc>
          <w:tcPr>
            <w:tcW w:w="129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53,030</w:t>
            </w:r>
          </w:p>
        </w:tc>
        <w:tc>
          <w:tcPr>
            <w:tcW w:w="135"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3620" w:type="dxa"/>
            <w:tcBorders/>
          </w:tcPr>
          <w:p>
            <w:pPr>
              <w:pStyle w:val="TableContents"/>
              <w:bidi w:val="0"/>
              <w:spacing w:before="0" w:after="0"/>
              <w:ind w:left="0" w:right="0" w:hanging="0"/>
              <w:jc w:val="left"/>
              <w:rPr>
                <w:b w:val="false"/>
              </w:rPr>
            </w:pPr>
            <w:r>
              <w:rPr>
                <w:b w:val="false"/>
              </w:rPr>
              <w:t>Goodwill</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w:t>
            </w:r>
          </w:p>
        </w:tc>
        <w:tc>
          <w:tcPr>
            <w:tcW w:w="1130" w:type="dxa"/>
            <w:tcBorders/>
          </w:tcPr>
          <w:p>
            <w:pPr>
              <w:pStyle w:val="TableContents"/>
              <w:bidi w:val="0"/>
              <w:spacing w:before="0" w:after="0"/>
              <w:ind w:left="0" w:right="0" w:hanging="0"/>
              <w:jc w:val="right"/>
              <w:rPr/>
            </w:pPr>
            <w:r>
              <w:rPr/>
              <w:t>414,865</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293" w:type="dxa"/>
            <w:tcBorders/>
          </w:tcPr>
          <w:p>
            <w:pPr>
              <w:pStyle w:val="TableContents"/>
              <w:bidi w:val="0"/>
              <w:spacing w:before="0" w:after="0"/>
              <w:ind w:left="0" w:right="0" w:hanging="0"/>
              <w:jc w:val="left"/>
              <w:rPr/>
            </w:pPr>
            <w:r>
              <w:rPr/>
              <w:t>$</w:t>
            </w:r>
          </w:p>
        </w:tc>
        <w:tc>
          <w:tcPr>
            <w:tcW w:w="1227" w:type="dxa"/>
            <w:tcBorders/>
          </w:tcPr>
          <w:p>
            <w:pPr>
              <w:pStyle w:val="TableContents"/>
              <w:bidi w:val="0"/>
              <w:spacing w:before="0" w:after="0"/>
              <w:ind w:left="0" w:right="0" w:hanging="0"/>
              <w:jc w:val="right"/>
              <w:rPr/>
            </w:pPr>
            <w:r>
              <w:rPr/>
              <w:t>23,877</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w:t>
            </w:r>
          </w:p>
        </w:tc>
        <w:tc>
          <w:tcPr>
            <w:tcW w:w="1175" w:type="dxa"/>
            <w:tcBorders/>
          </w:tcPr>
          <w:p>
            <w:pPr>
              <w:pStyle w:val="TableContents"/>
              <w:bidi w:val="0"/>
              <w:spacing w:before="0" w:after="0"/>
              <w:ind w:left="0" w:right="0" w:hanging="0"/>
              <w:jc w:val="right"/>
              <w:rPr/>
            </w:pPr>
            <w:r>
              <w:rPr/>
              <w:t>14,536</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both"/>
              <w:rPr/>
            </w:pPr>
            <w:r>
              <w:rPr/>
              <w:t> </w:t>
            </w:r>
          </w:p>
        </w:tc>
        <w:tc>
          <w:tcPr>
            <w:tcW w:w="170" w:type="dxa"/>
            <w:tcBorders/>
          </w:tcPr>
          <w:p>
            <w:pPr>
              <w:pStyle w:val="TableContents"/>
              <w:bidi w:val="0"/>
              <w:spacing w:before="0" w:after="0"/>
              <w:ind w:left="0" w:right="0" w:hanging="0"/>
              <w:jc w:val="left"/>
              <w:rPr/>
            </w:pPr>
            <w:r>
              <w:rPr/>
              <w:t>$</w:t>
            </w:r>
          </w:p>
        </w:tc>
        <w:tc>
          <w:tcPr>
            <w:tcW w:w="1295" w:type="dxa"/>
            <w:tcBorders/>
          </w:tcPr>
          <w:p>
            <w:pPr>
              <w:pStyle w:val="TableContents"/>
              <w:bidi w:val="0"/>
              <w:spacing w:before="0" w:after="0"/>
              <w:ind w:left="0" w:right="0" w:hanging="0"/>
              <w:jc w:val="right"/>
              <w:rPr/>
            </w:pPr>
            <w:r>
              <w:rPr/>
              <w:t>453,278</w:t>
            </w:r>
          </w:p>
        </w:tc>
        <w:tc>
          <w:tcPr>
            <w:tcW w:w="135" w:type="dxa"/>
            <w:tcBorders/>
          </w:tcPr>
          <w:p>
            <w:pPr>
              <w:pStyle w:val="TableContents"/>
              <w:bidi w:val="0"/>
              <w:spacing w:before="0" w:after="0"/>
              <w:jc w:val="left"/>
              <w:rPr/>
            </w:pPr>
            <w:r>
              <w:rPr/>
              <w:t> </w:t>
            </w:r>
          </w:p>
        </w:tc>
      </w:tr>
      <w:tr>
        <w:trPr/>
        <w:tc>
          <w:tcPr>
            <w:tcW w:w="3620" w:type="dxa"/>
            <w:tcBorders/>
            <w:shd w:fill="CCEEFF" w:val="clear"/>
          </w:tcPr>
          <w:p>
            <w:pPr>
              <w:pStyle w:val="TableContents"/>
              <w:bidi w:val="0"/>
              <w:spacing w:before="0" w:after="0"/>
              <w:ind w:left="0" w:right="0" w:hanging="0"/>
              <w:jc w:val="left"/>
              <w:rPr>
                <w:b w:val="false"/>
              </w:rPr>
            </w:pPr>
            <w:r>
              <w:rPr>
                <w:b w:val="false"/>
              </w:rPr>
              <w:t>Intangible assets, net</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45,465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293" w:type="dxa"/>
            <w:tcBorders/>
            <w:shd w:fill="CCEEFF" w:val="clear"/>
          </w:tcPr>
          <w:p>
            <w:pPr>
              <w:pStyle w:val="TableContents"/>
              <w:bidi w:val="0"/>
              <w:spacing w:before="0" w:after="0"/>
              <w:ind w:left="0" w:right="0" w:hanging="0"/>
              <w:jc w:val="left"/>
              <w:rPr/>
            </w:pPr>
            <w:r>
              <w:rPr/>
              <w:t> </w:t>
            </w:r>
          </w:p>
        </w:tc>
        <w:tc>
          <w:tcPr>
            <w:tcW w:w="1227" w:type="dxa"/>
            <w:tcBorders/>
            <w:shd w:fill="CCEEFF" w:val="clear"/>
          </w:tcPr>
          <w:p>
            <w:pPr>
              <w:pStyle w:val="TableContents"/>
              <w:bidi w:val="0"/>
              <w:spacing w:before="0" w:after="0"/>
              <w:ind w:left="0" w:right="0" w:hanging="0"/>
              <w:jc w:val="right"/>
              <w:rPr/>
            </w:pPr>
            <w:r>
              <w:rPr/>
              <w:t>4,711</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175" w:type="dxa"/>
            <w:tcBorders/>
            <w:shd w:fill="CCEEFF" w:val="clear"/>
          </w:tcPr>
          <w:p>
            <w:pPr>
              <w:pStyle w:val="TableContents"/>
              <w:bidi w:val="0"/>
              <w:spacing w:before="0" w:after="0"/>
              <w:ind w:left="0" w:right="0" w:hanging="0"/>
              <w:jc w:val="right"/>
              <w:rPr/>
            </w:pPr>
            <w:r>
              <w:rPr/>
              <w:t>941</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both"/>
              <w:rPr/>
            </w:pPr>
            <w:r>
              <w:rPr/>
              <w:t> </w:t>
            </w:r>
          </w:p>
        </w:tc>
        <w:tc>
          <w:tcPr>
            <w:tcW w:w="170" w:type="dxa"/>
            <w:tcBorders/>
            <w:shd w:fill="CCEEFF" w:val="clear"/>
          </w:tcPr>
          <w:p>
            <w:pPr>
              <w:pStyle w:val="TableContents"/>
              <w:bidi w:val="0"/>
              <w:spacing w:before="0" w:after="0"/>
              <w:ind w:left="0" w:right="0" w:hanging="0"/>
              <w:jc w:val="left"/>
              <w:rPr/>
            </w:pPr>
            <w:r>
              <w:rPr/>
              <w:t> </w:t>
            </w:r>
          </w:p>
        </w:tc>
        <w:tc>
          <w:tcPr>
            <w:tcW w:w="1295" w:type="dxa"/>
            <w:tcBorders/>
            <w:shd w:fill="CCEEFF" w:val="clear"/>
          </w:tcPr>
          <w:p>
            <w:pPr>
              <w:pStyle w:val="TableContents"/>
              <w:bidi w:val="0"/>
              <w:spacing w:before="0" w:after="0"/>
              <w:ind w:left="0" w:right="0" w:hanging="0"/>
              <w:jc w:val="right"/>
              <w:rPr/>
            </w:pPr>
            <w:r>
              <w:rPr/>
              <w:t>51,117</w:t>
            </w:r>
          </w:p>
        </w:tc>
        <w:tc>
          <w:tcPr>
            <w:tcW w:w="135" w:type="dxa"/>
            <w:tcBorders/>
            <w:shd w:fill="CCEEFF" w:val="clear"/>
          </w:tcPr>
          <w:p>
            <w:pPr>
              <w:pStyle w:val="TableContents"/>
              <w:bidi w:val="0"/>
              <w:spacing w:before="0" w:after="0"/>
              <w:jc w:val="left"/>
              <w:rPr/>
            </w:pPr>
            <w:r>
              <w:rPr/>
              <w:t> </w:t>
            </w:r>
          </w:p>
        </w:tc>
      </w:tr>
      <w:tr>
        <w:trPr/>
        <w:tc>
          <w:tcPr>
            <w:tcW w:w="3620" w:type="dxa"/>
            <w:tcBorders>
              <w:bottom w:val="single" w:sz="12" w:space="0" w:color="000000"/>
            </w:tcBorders>
            <w:tcMar>
              <w:bottom w:w="28" w:type="dxa"/>
            </w:tcMar>
          </w:tcPr>
          <w:p>
            <w:pPr>
              <w:pStyle w:val="TableContents"/>
              <w:bidi w:val="0"/>
              <w:spacing w:before="0" w:after="0"/>
              <w:ind w:left="0" w:right="0" w:hanging="0"/>
              <w:jc w:val="left"/>
              <w:rPr>
                <w:b w:val="false"/>
              </w:rPr>
            </w:pPr>
            <w:r>
              <w:rPr>
                <w:b w:val="false"/>
              </w:rPr>
              <w:t>Total assets</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right"/>
              <w:rPr/>
            </w:pPr>
            <w:r>
              <w:rPr/>
              <w:t>18,192,349</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293"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27" w:type="dxa"/>
            <w:tcBorders>
              <w:bottom w:val="single" w:sz="12" w:space="0" w:color="000000"/>
            </w:tcBorders>
            <w:tcMar>
              <w:bottom w:w="28" w:type="dxa"/>
            </w:tcMar>
          </w:tcPr>
          <w:p>
            <w:pPr>
              <w:pStyle w:val="TableContents"/>
              <w:bidi w:val="0"/>
              <w:spacing w:before="0" w:after="0"/>
              <w:ind w:left="0" w:right="0" w:hanging="0"/>
              <w:jc w:val="right"/>
              <w:rPr/>
            </w:pPr>
            <w:r>
              <w:rPr/>
              <w:t>47,189</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75" w:type="dxa"/>
            <w:tcBorders>
              <w:bottom w:val="single" w:sz="12" w:space="0" w:color="000000"/>
            </w:tcBorders>
            <w:tcMar>
              <w:bottom w:w="28" w:type="dxa"/>
            </w:tcMar>
          </w:tcPr>
          <w:p>
            <w:pPr>
              <w:pStyle w:val="TableContents"/>
              <w:bidi w:val="0"/>
              <w:spacing w:before="0" w:after="0"/>
              <w:ind w:left="0" w:right="0" w:hanging="0"/>
              <w:jc w:val="right"/>
              <w:rPr/>
            </w:pPr>
            <w:r>
              <w:rPr/>
              <w:t>(2,024,581</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both"/>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295" w:type="dxa"/>
            <w:tcBorders>
              <w:bottom w:val="single" w:sz="12" w:space="0" w:color="000000"/>
            </w:tcBorders>
            <w:tcMar>
              <w:bottom w:w="28" w:type="dxa"/>
            </w:tcMar>
          </w:tcPr>
          <w:p>
            <w:pPr>
              <w:pStyle w:val="TableContents"/>
              <w:bidi w:val="0"/>
              <w:spacing w:before="0" w:after="0"/>
              <w:ind w:left="0" w:right="0" w:hanging="0"/>
              <w:jc w:val="right"/>
              <w:rPr/>
            </w:pPr>
            <w:r>
              <w:rPr/>
              <w:t>16,214,957</w:t>
            </w:r>
          </w:p>
        </w:tc>
        <w:tc>
          <w:tcPr>
            <w:tcW w:w="135" w:type="dxa"/>
            <w:tcBorders>
              <w:bottom w:val="single" w:sz="12" w:space="0" w:color="000000"/>
            </w:tcBorders>
            <w:tcMar>
              <w:bottom w:w="28" w:type="dxa"/>
            </w:tcMar>
          </w:tcPr>
          <w:p>
            <w:pPr>
              <w:pStyle w:val="TableContents"/>
              <w:bidi w:val="0"/>
              <w:spacing w:before="0" w:after="0"/>
              <w:jc w:val="left"/>
              <w:rPr/>
            </w:pPr>
            <w:r>
              <w:rPr/>
              <w:t> </w:t>
            </w:r>
          </w:p>
        </w:tc>
      </w:tr>
    </w:tbl>
    <w:p>
      <w:pPr>
        <w:pStyle w:val="TextBody"/>
        <w:bidi w:val="0"/>
        <w:spacing w:before="0" w:after="0"/>
        <w:jc w:val="both"/>
        <w:rPr/>
      </w:pPr>
      <w:r>
        <w:rPr/>
        <w:t>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Included in All Other is the revenue and expenses from certain other non-bank subsidiaries of the parent, including the insurance subsidiary, along with eliminating amounts that do not meet the definition of an operating segment.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46685"/>
                <wp:effectExtent l="0" t="0" r="0" b="0"/>
                <wp:wrapSquare wrapText="right"/>
                <wp:docPr id="7" name="Frame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3713"/>
        <w:gridCol w:w="90"/>
        <w:gridCol w:w="170"/>
        <w:gridCol w:w="1130"/>
        <w:gridCol w:w="90"/>
        <w:gridCol w:w="90"/>
        <w:gridCol w:w="313"/>
        <w:gridCol w:w="1321"/>
        <w:gridCol w:w="90"/>
        <w:gridCol w:w="90"/>
        <w:gridCol w:w="172"/>
        <w:gridCol w:w="1099"/>
        <w:gridCol w:w="185"/>
        <w:gridCol w:w="90"/>
        <w:gridCol w:w="185"/>
        <w:gridCol w:w="1239"/>
        <w:gridCol w:w="138"/>
      </w:tblGrid>
      <w:tr>
        <w:trPr/>
        <w:tc>
          <w:tcPr>
            <w:tcW w:w="37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w:t>
            </w:r>
          </w:p>
        </w:tc>
        <w:tc>
          <w:tcPr>
            <w:tcW w:w="6492" w:type="dxa"/>
            <w:gridSpan w:val="16"/>
            <w:tcBorders>
              <w:bottom w:val="single" w:sz="12" w:space="0" w:color="000000"/>
            </w:tcBorders>
            <w:tcMar>
              <w:bottom w:w="28" w:type="dxa"/>
            </w:tcMar>
            <w:vAlign w:val="center"/>
          </w:tcPr>
          <w:p>
            <w:pPr>
              <w:pStyle w:val="TableContents"/>
              <w:bidi w:val="0"/>
              <w:spacing w:before="0" w:after="283"/>
              <w:jc w:val="center"/>
              <w:rPr/>
            </w:pPr>
            <w:r>
              <w:rPr>
                <w:b/>
              </w:rPr>
              <w:t>Three Months Ended June 30, 2025</w:t>
            </w:r>
            <w:r>
              <w:rPr/>
              <w:t xml:space="preserve"> </w:t>
            </w:r>
          </w:p>
        </w:tc>
      </w:tr>
      <w:tr>
        <w:trPr/>
        <w:tc>
          <w:tcPr>
            <w:tcW w:w="371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34" w:type="dxa"/>
            <w:gridSpan w:val="2"/>
            <w:tcBorders/>
            <w:vAlign w:val="center"/>
          </w:tcPr>
          <w:p>
            <w:pPr>
              <w:pStyle w:val="TableContents"/>
              <w:bidi w:val="0"/>
              <w:spacing w:before="0" w:after="283"/>
              <w:jc w:val="center"/>
              <w:rPr>
                <w:b/>
              </w:rPr>
            </w:pPr>
            <w:r>
              <w:rPr>
                <w:b/>
              </w:rPr>
              <w:t>Retirement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71"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4" w:type="dxa"/>
            <w:gridSpan w:val="2"/>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both"/>
              <w:rPr/>
            </w:pPr>
            <w:r>
              <w:rPr/>
              <w:t> </w:t>
            </w:r>
          </w:p>
        </w:tc>
      </w:tr>
      <w:tr>
        <w:trPr/>
        <w:tc>
          <w:tcPr>
            <w:tcW w:w="371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34" w:type="dxa"/>
            <w:gridSpan w:val="2"/>
            <w:tcBorders/>
            <w:vAlign w:val="center"/>
          </w:tcPr>
          <w:p>
            <w:pPr>
              <w:pStyle w:val="TableContents"/>
              <w:bidi w:val="0"/>
              <w:spacing w:before="0" w:after="283"/>
              <w:jc w:val="center"/>
              <w:rPr>
                <w:b/>
              </w:rPr>
            </w:pPr>
            <w:r>
              <w:rPr>
                <w:b/>
              </w:rPr>
              <w:t>Plan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71"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4" w:type="dxa"/>
            <w:gridSpan w:val="2"/>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both"/>
              <w:rPr/>
            </w:pPr>
            <w:r>
              <w:rPr/>
              <w:t> </w:t>
            </w:r>
          </w:p>
        </w:tc>
      </w:tr>
      <w:tr>
        <w:trPr/>
        <w:tc>
          <w:tcPr>
            <w:tcW w:w="3713" w:type="dxa"/>
            <w:tcBorders>
              <w:bottom w:val="single" w:sz="12" w:space="0" w:color="000000"/>
            </w:tcBorders>
            <w:tcMar>
              <w:bottom w:w="28" w:type="dxa"/>
            </w:tcMar>
            <w:vAlign w:val="center"/>
          </w:tcPr>
          <w:p>
            <w:pPr>
              <w:pStyle w:val="TableContents"/>
              <w:bidi w:val="0"/>
              <w:spacing w:before="0" w:after="283"/>
              <w:jc w:val="both"/>
              <w:rPr>
                <w:i/>
              </w:rPr>
            </w:pPr>
            <w:r>
              <w:rPr>
                <w:i/>
              </w:rPr>
              <w:t xml:space="preserve">(In thousands)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Banking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Administration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All Other(1)</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Consolidated </w:t>
            </w:r>
          </w:p>
        </w:tc>
        <w:tc>
          <w:tcPr>
            <w:tcW w:w="138"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3713" w:type="dxa"/>
            <w:tcBorders/>
            <w:shd w:fill="CCEEFF" w:val="clear"/>
            <w:vAlign w:val="center"/>
          </w:tcPr>
          <w:p>
            <w:pPr>
              <w:pStyle w:val="TableContents"/>
              <w:bidi w:val="0"/>
              <w:spacing w:before="0" w:after="283"/>
              <w:jc w:val="both"/>
              <w:rPr/>
            </w:pPr>
            <w:r>
              <w:rPr/>
              <w:t xml:space="preserve">Net interest income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124,202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124,220</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bottom w:val="single" w:sz="12" w:space="0" w:color="000000"/>
            </w:tcBorders>
            <w:tcMar>
              <w:bottom w:w="28" w:type="dxa"/>
            </w:tcMar>
            <w:vAlign w:val="center"/>
          </w:tcPr>
          <w:p>
            <w:pPr>
              <w:pStyle w:val="TableContents"/>
              <w:bidi w:val="0"/>
              <w:spacing w:before="0" w:after="283"/>
              <w:jc w:val="both"/>
              <w:rPr/>
            </w:pPr>
            <w:r>
              <w:rPr/>
              <w:t xml:space="preserve">Provision for loan losses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17,835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pPr>
            <w:r>
              <w:rPr/>
              <w:t>17,835</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13"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Net interest income after provision for loan losses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106,367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106,385</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Noninterest income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1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both"/>
              <w:rPr/>
            </w:pPr>
            <w:r>
              <w:rPr/>
              <w:t> </w:t>
            </w:r>
          </w:p>
        </w:tc>
        <w:tc>
          <w:tcPr>
            <w:tcW w:w="132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both"/>
              <w:rPr/>
            </w:pPr>
            <w:r>
              <w:rPr/>
              <w:t> </w:t>
            </w:r>
          </w:p>
        </w:tc>
        <w:tc>
          <w:tcPr>
            <w:tcW w:w="1099"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pPr>
            <w:r>
              <w:rPr/>
              <w:t> </w:t>
            </w:r>
          </w:p>
        </w:tc>
        <w:tc>
          <w:tcPr>
            <w:tcW w:w="1239"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pPr>
            <w:r>
              <w:rPr/>
              <w:t> </w:t>
            </w:r>
          </w:p>
        </w:tc>
      </w:tr>
      <w:tr>
        <w:trPr/>
        <w:tc>
          <w:tcPr>
            <w:tcW w:w="3713" w:type="dxa"/>
            <w:tcBorders/>
            <w:shd w:fill="CCEEFF" w:val="clear"/>
            <w:vAlign w:val="center"/>
          </w:tcPr>
          <w:p>
            <w:pPr>
              <w:pStyle w:val="TableContents"/>
              <w:bidi w:val="0"/>
              <w:spacing w:before="0" w:after="283"/>
              <w:jc w:val="both"/>
              <w:rPr/>
            </w:pPr>
            <w:r>
              <w:rPr/>
              <w:t xml:space="preserve">Service charges on deposit accounts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4,578</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Card services income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6,077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6,077</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Retirement plan administration fees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16,081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(371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15,710</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Wealth management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517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10,678</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Insurance services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4,096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4,097</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Bank owned life insurance income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2,180</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Net securities gains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112</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bottom w:val="single" w:sz="12" w:space="0" w:color="000000"/>
            </w:tcBorders>
            <w:tcMar>
              <w:bottom w:w="28" w:type="dxa"/>
            </w:tcMar>
            <w:vAlign w:val="center"/>
          </w:tcPr>
          <w:p>
            <w:pPr>
              <w:pStyle w:val="TableContents"/>
              <w:bidi w:val="0"/>
              <w:spacing w:before="0" w:after="283"/>
              <w:jc w:val="both"/>
              <w:rPr/>
            </w:pPr>
            <w:r>
              <w:rPr/>
              <w:t xml:space="preserve">Other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5,018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tcMar>
              <w:bottom w:w="28" w:type="dxa"/>
            </w:tcMar>
            <w:vAlign w:val="center"/>
          </w:tcPr>
          <w:p>
            <w:pPr>
              <w:pStyle w:val="TableContents"/>
              <w:bidi w:val="0"/>
              <w:spacing w:before="0" w:after="283"/>
              <w:jc w:val="right"/>
              <w:rPr/>
            </w:pPr>
            <w:r>
              <w:rPr/>
              <w:t>145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tcMar>
              <w:bottom w:w="28" w:type="dxa"/>
            </w:tcMar>
            <w:vAlign w:val="center"/>
          </w:tcPr>
          <w:p>
            <w:pPr>
              <w:pStyle w:val="TableContents"/>
              <w:bidi w:val="0"/>
              <w:spacing w:before="0" w:after="283"/>
              <w:jc w:val="right"/>
              <w:rPr/>
            </w:pPr>
            <w:r>
              <w:rPr/>
              <w:t>(1,663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pPr>
            <w:r>
              <w:rPr/>
              <w:t>3,500</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13"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Total noninterest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28,119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16,743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2,070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46,932</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Noninterest expense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1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both"/>
              <w:rPr/>
            </w:pPr>
            <w:r>
              <w:rPr/>
              <w:t> </w:t>
            </w:r>
          </w:p>
        </w:tc>
        <w:tc>
          <w:tcPr>
            <w:tcW w:w="132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both"/>
              <w:rPr/>
            </w:pPr>
            <w:r>
              <w:rPr/>
              <w:t> </w:t>
            </w:r>
          </w:p>
        </w:tc>
        <w:tc>
          <w:tcPr>
            <w:tcW w:w="1099"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pPr>
            <w:r>
              <w:rPr/>
              <w:t> </w:t>
            </w:r>
          </w:p>
        </w:tc>
        <w:tc>
          <w:tcPr>
            <w:tcW w:w="1239"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pPr>
            <w:r>
              <w:rPr/>
              <w:t> </w:t>
            </w:r>
          </w:p>
        </w:tc>
      </w:tr>
      <w:tr>
        <w:trPr/>
        <w:tc>
          <w:tcPr>
            <w:tcW w:w="3713" w:type="dxa"/>
            <w:tcBorders/>
            <w:shd w:fill="CCEEFF" w:val="clear"/>
            <w:vAlign w:val="center"/>
          </w:tcPr>
          <w:p>
            <w:pPr>
              <w:pStyle w:val="TableContents"/>
              <w:bidi w:val="0"/>
              <w:spacing w:before="0" w:after="283"/>
              <w:jc w:val="both"/>
              <w:rPr/>
            </w:pPr>
            <w:r>
              <w:rPr/>
              <w:t xml:space="preserve">Salaries and employee benefits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52,659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8,700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2,796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64,155</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Technology and data services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10,341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160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10,804</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Occupancy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8,687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284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9,038</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Professional fees and outside services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521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(351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5,021</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Office supplies and postage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1,871</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FDIC assessment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1,820</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Marketing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974</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Amortization of intangible assets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485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3,042</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Loan collection and other real estate owned, net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489</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Acquisition expenses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17,180</w:t>
            </w:r>
          </w:p>
        </w:tc>
        <w:tc>
          <w:tcPr>
            <w:tcW w:w="138" w:type="dxa"/>
            <w:tcBorders/>
            <w:vAlign w:val="center"/>
          </w:tcPr>
          <w:p>
            <w:pPr>
              <w:pStyle w:val="TableContents"/>
              <w:bidi w:val="0"/>
              <w:spacing w:before="0" w:after="283"/>
              <w:jc w:val="left"/>
              <w:rPr/>
            </w:pPr>
            <w:r>
              <w:rPr/>
              <w:t> </w:t>
            </w:r>
          </w:p>
        </w:tc>
      </w:tr>
      <w:tr>
        <w:trPr/>
        <w:tc>
          <w:tcPr>
            <w:tcW w:w="3713"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Other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9,684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(1,742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8,216</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13" w:type="dxa"/>
            <w:tcBorders>
              <w:bottom w:val="single" w:sz="12" w:space="0" w:color="000000"/>
            </w:tcBorders>
            <w:tcMar>
              <w:bottom w:w="28" w:type="dxa"/>
            </w:tcMar>
            <w:vAlign w:val="center"/>
          </w:tcPr>
          <w:p>
            <w:pPr>
              <w:pStyle w:val="TableContents"/>
              <w:bidi w:val="0"/>
              <w:spacing w:before="0" w:after="283"/>
              <w:jc w:val="both"/>
              <w:rPr/>
            </w:pPr>
            <w:r>
              <w:rPr/>
              <w:t xml:space="preserve">Total noninterest expense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110,946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tcMar>
              <w:bottom w:w="28" w:type="dxa"/>
            </w:tcMar>
            <w:vAlign w:val="center"/>
          </w:tcPr>
          <w:p>
            <w:pPr>
              <w:pStyle w:val="TableContents"/>
              <w:bidi w:val="0"/>
              <w:spacing w:before="0" w:after="283"/>
              <w:jc w:val="left"/>
              <w:rPr/>
            </w:pPr>
            <w:r>
              <w:rPr/>
              <w:t>$</w:t>
            </w:r>
          </w:p>
        </w:tc>
        <w:tc>
          <w:tcPr>
            <w:tcW w:w="1321" w:type="dxa"/>
            <w:tcBorders>
              <w:bottom w:val="single" w:sz="12" w:space="0" w:color="000000"/>
            </w:tcBorders>
            <w:tcMar>
              <w:bottom w:w="28" w:type="dxa"/>
            </w:tcMar>
            <w:vAlign w:val="center"/>
          </w:tcPr>
          <w:p>
            <w:pPr>
              <w:pStyle w:val="TableContents"/>
              <w:bidi w:val="0"/>
              <w:spacing w:before="0" w:after="283"/>
              <w:jc w:val="right"/>
              <w:rPr/>
            </w:pPr>
            <w:r>
              <w:rPr/>
              <w:t>10,661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w:t>
            </w:r>
          </w:p>
        </w:tc>
        <w:tc>
          <w:tcPr>
            <w:tcW w:w="1099" w:type="dxa"/>
            <w:tcBorders>
              <w:bottom w:val="single" w:sz="12" w:space="0" w:color="000000"/>
            </w:tcBorders>
            <w:tcMar>
              <w:bottom w:w="28" w:type="dxa"/>
            </w:tcMar>
            <w:vAlign w:val="center"/>
          </w:tcPr>
          <w:p>
            <w:pPr>
              <w:pStyle w:val="TableContents"/>
              <w:bidi w:val="0"/>
              <w:spacing w:before="0" w:after="283"/>
              <w:jc w:val="right"/>
              <w:rPr/>
            </w:pPr>
            <w:r>
              <w:rPr/>
              <w:t>1,003</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tcMar>
              <w:bottom w:w="28" w:type="dxa"/>
            </w:tcMar>
            <w:vAlign w:val="center"/>
          </w:tcPr>
          <w:p>
            <w:pPr>
              <w:pStyle w:val="TableContents"/>
              <w:bidi w:val="0"/>
              <w:spacing w:before="0" w:after="283"/>
              <w:jc w:val="right"/>
              <w:rPr/>
            </w:pPr>
            <w:r>
              <w:rPr/>
              <w:t>122,610</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Income before income tax expense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23,540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6,100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1,067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30,707</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bottom w:val="single" w:sz="12" w:space="0" w:color="000000"/>
            </w:tcBorders>
            <w:tcMar>
              <w:bottom w:w="28" w:type="dxa"/>
            </w:tcMar>
            <w:vAlign w:val="center"/>
          </w:tcPr>
          <w:p>
            <w:pPr>
              <w:pStyle w:val="TableContents"/>
              <w:bidi w:val="0"/>
              <w:spacing w:before="0" w:after="283"/>
              <w:jc w:val="both"/>
              <w:rPr/>
            </w:pPr>
            <w:r>
              <w:rPr/>
              <w:t xml:space="preserve">Income tax expense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6,917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tcMar>
              <w:bottom w:w="28" w:type="dxa"/>
            </w:tcMar>
            <w:vAlign w:val="center"/>
          </w:tcPr>
          <w:p>
            <w:pPr>
              <w:pStyle w:val="TableContents"/>
              <w:bidi w:val="0"/>
              <w:spacing w:before="0" w:after="283"/>
              <w:jc w:val="right"/>
              <w:rPr/>
            </w:pPr>
            <w:r>
              <w:rPr/>
              <w:t>1,280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pPr>
            <w:r>
              <w:rPr/>
              <w:t>8,197</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13" w:type="dxa"/>
            <w:tcBorders>
              <w:bottom w:val="single" w:sz="12" w:space="0" w:color="000000"/>
            </w:tcBorders>
            <w:shd w:fill="CCEEFF" w:val="clear"/>
            <w:tcMar>
              <w:bottom w:w="28" w:type="dxa"/>
            </w:tcMar>
            <w:vAlign w:val="center"/>
          </w:tcPr>
          <w:p>
            <w:pPr>
              <w:pStyle w:val="TableContents"/>
              <w:bidi w:val="0"/>
              <w:spacing w:before="0" w:after="283"/>
              <w:jc w:val="both"/>
              <w:rPr/>
            </w:pPr>
            <w:r>
              <w:rPr/>
              <w:t xml:space="preserve">Net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16,623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single" w:sz="12" w:space="0" w:color="000000"/>
            </w:tcBorders>
            <w:shd w:fill="CCEEFF" w:val="clear"/>
            <w:tcMar>
              <w:bottom w:w="28" w:type="dxa"/>
            </w:tcMar>
            <w:vAlign w:val="center"/>
          </w:tcPr>
          <w:p>
            <w:pPr>
              <w:pStyle w:val="TableContents"/>
              <w:bidi w:val="0"/>
              <w:spacing w:before="0" w:after="283"/>
              <w:jc w:val="right"/>
              <w:rPr/>
            </w:pPr>
            <w:r>
              <w:rPr/>
              <w:t>4,820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1,067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22,510</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13" w:type="dxa"/>
            <w:tcBorders/>
            <w:vAlign w:val="center"/>
          </w:tcPr>
          <w:p>
            <w:pPr>
              <w:pStyle w:val="TableContents"/>
              <w:bidi w:val="0"/>
              <w:spacing w:before="0" w:after="283"/>
              <w:jc w:val="both"/>
              <w:rPr/>
            </w:pPr>
            <w:r>
              <w:rPr/>
              <w:t xml:space="preserve">Goodwill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415,659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313"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283"/>
              <w:jc w:val="right"/>
              <w:rPr/>
            </w:pPr>
            <w:r>
              <w:rPr/>
              <w:t>23,877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2"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283"/>
              <w:jc w:val="right"/>
              <w:rPr/>
            </w:pPr>
            <w:r>
              <w:rPr/>
              <w:t>14,536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454,072</w:t>
            </w:r>
          </w:p>
        </w:tc>
        <w:tc>
          <w:tcPr>
            <w:tcW w:w="138" w:type="dxa"/>
            <w:tcBorders/>
            <w:vAlign w:val="center"/>
          </w:tcPr>
          <w:p>
            <w:pPr>
              <w:pStyle w:val="TableContents"/>
              <w:bidi w:val="0"/>
              <w:spacing w:before="0" w:after="283"/>
              <w:jc w:val="left"/>
              <w:rPr/>
            </w:pPr>
            <w:r>
              <w:rPr/>
              <w:t> </w:t>
            </w:r>
          </w:p>
        </w:tc>
      </w:tr>
      <w:tr>
        <w:trPr/>
        <w:tc>
          <w:tcPr>
            <w:tcW w:w="3713" w:type="dxa"/>
            <w:tcBorders/>
            <w:shd w:fill="CCEEFF" w:val="clear"/>
            <w:vAlign w:val="center"/>
          </w:tcPr>
          <w:p>
            <w:pPr>
              <w:pStyle w:val="TableContents"/>
              <w:bidi w:val="0"/>
              <w:spacing w:before="0" w:after="283"/>
              <w:jc w:val="both"/>
              <w:rPr/>
            </w:pPr>
            <w:r>
              <w:rPr/>
              <w:t xml:space="preserve">Intangible assets, net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56,785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31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6,504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1,158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64,447</w:t>
            </w:r>
          </w:p>
        </w:tc>
        <w:tc>
          <w:tcPr>
            <w:tcW w:w="138" w:type="dxa"/>
            <w:tcBorders/>
            <w:shd w:fill="CCEEFF" w:val="clear"/>
            <w:vAlign w:val="center"/>
          </w:tcPr>
          <w:p>
            <w:pPr>
              <w:pStyle w:val="TableContents"/>
              <w:bidi w:val="0"/>
              <w:spacing w:before="0" w:after="283"/>
              <w:jc w:val="left"/>
              <w:rPr/>
            </w:pPr>
            <w:r>
              <w:rPr/>
              <w:t> </w:t>
            </w:r>
          </w:p>
        </w:tc>
      </w:tr>
      <w:tr>
        <w:trPr/>
        <w:tc>
          <w:tcPr>
            <w:tcW w:w="3713" w:type="dxa"/>
            <w:tcBorders>
              <w:bottom w:val="single" w:sz="12" w:space="0" w:color="000000"/>
            </w:tcBorders>
            <w:tcMar>
              <w:bottom w:w="28" w:type="dxa"/>
            </w:tcMar>
            <w:vAlign w:val="center"/>
          </w:tcPr>
          <w:p>
            <w:pPr>
              <w:pStyle w:val="TableContents"/>
              <w:bidi w:val="0"/>
              <w:spacing w:before="0" w:after="283"/>
              <w:jc w:val="both"/>
              <w:rPr/>
            </w:pPr>
            <w:r>
              <w:rPr/>
              <w:t xml:space="preserve">Total assets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18,013,397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3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tcMar>
              <w:bottom w:w="28" w:type="dxa"/>
            </w:tcMar>
            <w:vAlign w:val="center"/>
          </w:tcPr>
          <w:p>
            <w:pPr>
              <w:pStyle w:val="TableContents"/>
              <w:bidi w:val="0"/>
              <w:spacing w:before="0" w:after="283"/>
              <w:jc w:val="right"/>
              <w:rPr/>
            </w:pPr>
            <w:r>
              <w:rPr/>
              <w:t>48,642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tcMar>
              <w:bottom w:w="28" w:type="dxa"/>
            </w:tcMar>
            <w:vAlign w:val="center"/>
          </w:tcPr>
          <w:p>
            <w:pPr>
              <w:pStyle w:val="TableContents"/>
              <w:bidi w:val="0"/>
              <w:spacing w:before="0" w:after="283"/>
              <w:jc w:val="right"/>
              <w:rPr/>
            </w:pPr>
            <w:r>
              <w:rPr/>
              <w:t>(2,047,258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pPr>
            <w:r>
              <w:rPr/>
              <w:t>16,014,781</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720"/>
        <w:jc w:val="both"/>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Included in All Other is the revenue and expenses from certain other non-bank subsidiaries of the parent, including the insurance subsidiary, along with eliminating amounts that do not meet the definition of an operating segment.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46685"/>
                <wp:effectExtent l="0" t="0" r="0" b="0"/>
                <wp:wrapSquare wrapText="right"/>
                <wp:docPr id="9" name="Frame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3795"/>
        <w:gridCol w:w="90"/>
        <w:gridCol w:w="170"/>
        <w:gridCol w:w="1130"/>
        <w:gridCol w:w="90"/>
        <w:gridCol w:w="90"/>
        <w:gridCol w:w="288"/>
        <w:gridCol w:w="1212"/>
        <w:gridCol w:w="185"/>
        <w:gridCol w:w="90"/>
        <w:gridCol w:w="177"/>
        <w:gridCol w:w="1136"/>
        <w:gridCol w:w="185"/>
        <w:gridCol w:w="90"/>
        <w:gridCol w:w="174"/>
        <w:gridCol w:w="1163"/>
        <w:gridCol w:w="140"/>
      </w:tblGrid>
      <w:tr>
        <w:trPr/>
        <w:tc>
          <w:tcPr>
            <w:tcW w:w="3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283"/>
              <w:jc w:val="left"/>
              <w:rPr/>
            </w:pPr>
            <w:r>
              <w:rPr/>
              <w:t> </w:t>
            </w:r>
          </w:p>
        </w:tc>
        <w:tc>
          <w:tcPr>
            <w:tcW w:w="6410" w:type="dxa"/>
            <w:gridSpan w:val="16"/>
            <w:tcBorders>
              <w:bottom w:val="single" w:sz="12" w:space="0" w:color="000000"/>
            </w:tcBorders>
            <w:tcMar>
              <w:bottom w:w="28" w:type="dxa"/>
            </w:tcMar>
            <w:vAlign w:val="center"/>
          </w:tcPr>
          <w:p>
            <w:pPr>
              <w:pStyle w:val="TableContents"/>
              <w:bidi w:val="0"/>
              <w:spacing w:before="0" w:after="283"/>
              <w:jc w:val="center"/>
              <w:rPr/>
            </w:pPr>
            <w:r>
              <w:rPr/>
              <w:t xml:space="preserve">Six Months Ended June 30, 2026 </w:t>
            </w:r>
          </w:p>
        </w:tc>
      </w:tr>
      <w:tr>
        <w:trPr/>
        <w:tc>
          <w:tcPr>
            <w:tcW w:w="3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center"/>
              <w:rPr/>
            </w:pPr>
            <w:r>
              <w:rPr/>
              <w:t>Retirement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3"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center"/>
              <w:rPr/>
            </w:pPr>
            <w:r>
              <w:rPr/>
              <w:t>Plan</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3"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left"/>
              <w:rPr/>
            </w:pPr>
            <w:r>
              <w:rPr/>
              <w:t> </w:t>
            </w:r>
          </w:p>
        </w:tc>
      </w:tr>
      <w:tr>
        <w:trPr/>
        <w:tc>
          <w:tcPr>
            <w:tcW w:w="3795" w:type="dxa"/>
            <w:tcBorders>
              <w:bottom w:val="single" w:sz="12" w:space="0" w:color="000000"/>
            </w:tcBorders>
            <w:tcMar>
              <w:bottom w:w="28" w:type="dxa"/>
            </w:tcMar>
            <w:vAlign w:val="center"/>
          </w:tcPr>
          <w:p>
            <w:pPr>
              <w:pStyle w:val="TableContents"/>
              <w:bidi w:val="0"/>
              <w:spacing w:before="0" w:after="0"/>
              <w:jc w:val="left"/>
              <w:rPr/>
            </w:pPr>
            <w:r>
              <w:rPr>
                <w:b w:val="false"/>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0"/>
              <w:jc w:val="center"/>
              <w:rPr/>
            </w:pPr>
            <w:r>
              <w:rPr/>
              <w:t xml:space="preserve">Banking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0" w:type="dxa"/>
            <w:gridSpan w:val="2"/>
            <w:tcBorders>
              <w:bottom w:val="single" w:sz="12" w:space="0" w:color="000000"/>
            </w:tcBorders>
            <w:tcMar>
              <w:bottom w:w="28" w:type="dxa"/>
            </w:tcMar>
            <w:vAlign w:val="center"/>
          </w:tcPr>
          <w:p>
            <w:pPr>
              <w:pStyle w:val="TableContents"/>
              <w:bidi w:val="0"/>
              <w:spacing w:before="0" w:after="0"/>
              <w:jc w:val="center"/>
              <w:rPr/>
            </w:pPr>
            <w:r>
              <w:rPr/>
              <w:t xml:space="preserve">Administration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3" w:type="dxa"/>
            <w:gridSpan w:val="2"/>
            <w:tcBorders>
              <w:bottom w:val="single" w:sz="12" w:space="0" w:color="000000"/>
            </w:tcBorders>
            <w:tcMar>
              <w:bottom w:w="28" w:type="dxa"/>
            </w:tcMar>
            <w:vAlign w:val="center"/>
          </w:tcPr>
          <w:p>
            <w:pPr>
              <w:pStyle w:val="TableContents"/>
              <w:bidi w:val="0"/>
              <w:spacing w:before="0" w:after="0"/>
              <w:jc w:val="center"/>
              <w:rPr/>
            </w:pPr>
            <w:r>
              <w:rPr/>
              <w:t xml:space="preserve">All Other (1)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0"/>
              <w:jc w:val="center"/>
              <w:rPr/>
            </w:pPr>
            <w:r>
              <w:rPr/>
              <w:t xml:space="preserve">Consolidated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Net interest income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271,275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36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271,311</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bottom w:val="single" w:sz="12" w:space="0" w:color="000000"/>
            </w:tcBorders>
            <w:tcMar>
              <w:bottom w:w="28" w:type="dxa"/>
            </w:tcMar>
            <w:vAlign w:val="center"/>
          </w:tcPr>
          <w:p>
            <w:pPr>
              <w:pStyle w:val="TableContents"/>
              <w:bidi w:val="0"/>
              <w:spacing w:before="0" w:after="0"/>
              <w:jc w:val="left"/>
              <w:rPr/>
            </w:pPr>
            <w:r>
              <w:rPr>
                <w:b w:val="false"/>
              </w:rPr>
              <w:t>Provision for loan losses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11,713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11,713</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95" w:type="dxa"/>
            <w:tcBorders>
              <w:bottom w:val="single" w:sz="12" w:space="0" w:color="000000"/>
            </w:tcBorders>
            <w:shd w:fill="CCEEFF" w:val="clear"/>
            <w:tcMar>
              <w:bottom w:w="28" w:type="dxa"/>
            </w:tcMar>
            <w:vAlign w:val="center"/>
          </w:tcPr>
          <w:p>
            <w:pPr>
              <w:pStyle w:val="TableContents"/>
              <w:bidi w:val="0"/>
              <w:spacing w:before="0" w:after="0"/>
              <w:jc w:val="left"/>
              <w:rPr/>
            </w:pPr>
            <w:r>
              <w:rPr>
                <w:b w:val="false"/>
              </w:rPr>
              <w:t>Net interest income after provision for loan losses</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259,562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259,598</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Noninterest income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Service charges on deposit accounts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10,462</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Card services income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12,641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12,641</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Retirement plan administration fees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34,319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(825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33,494</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Wealth management</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20,880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1,196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22,082</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Insurance services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8,659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8,659</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Bank owned life insurance income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5,164</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Net securities gains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617</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bottom w:val="single" w:sz="12" w:space="0" w:color="000000"/>
            </w:tcBorders>
            <w:tcMar>
              <w:bottom w:w="28" w:type="dxa"/>
            </w:tcMar>
            <w:vAlign w:val="center"/>
          </w:tcPr>
          <w:p>
            <w:pPr>
              <w:pStyle w:val="TableContents"/>
              <w:bidi w:val="0"/>
              <w:spacing w:before="0" w:after="0"/>
              <w:jc w:val="left"/>
              <w:rPr/>
            </w:pPr>
            <w:r>
              <w:rPr>
                <w:b w:val="false"/>
              </w:rPr>
              <w:t>Other</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11,105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tcMar>
              <w:bottom w:w="28" w:type="dxa"/>
            </w:tcMar>
            <w:vAlign w:val="center"/>
          </w:tcPr>
          <w:p>
            <w:pPr>
              <w:pStyle w:val="TableContents"/>
              <w:bidi w:val="0"/>
              <w:spacing w:before="0" w:after="283"/>
              <w:jc w:val="right"/>
              <w:rPr/>
            </w:pPr>
            <w:r>
              <w:rPr/>
              <w:t>306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tcMar>
              <w:bottom w:w="28" w:type="dxa"/>
            </w:tcMar>
            <w:vAlign w:val="center"/>
          </w:tcPr>
          <w:p>
            <w:pPr>
              <w:pStyle w:val="TableContents"/>
              <w:bidi w:val="0"/>
              <w:spacing w:before="0" w:after="283"/>
              <w:jc w:val="right"/>
              <w:rPr/>
            </w:pPr>
            <w:r>
              <w:rPr/>
              <w:t>(4,667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6,744</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95" w:type="dxa"/>
            <w:tcBorders>
              <w:bottom w:val="single" w:sz="12" w:space="0" w:color="000000"/>
            </w:tcBorders>
            <w:shd w:fill="CCEEFF" w:val="clear"/>
            <w:tcMar>
              <w:bottom w:w="28" w:type="dxa"/>
            </w:tcMar>
            <w:vAlign w:val="center"/>
          </w:tcPr>
          <w:p>
            <w:pPr>
              <w:pStyle w:val="TableContents"/>
              <w:bidi w:val="0"/>
              <w:spacing w:before="0" w:after="0"/>
              <w:jc w:val="left"/>
              <w:rPr/>
            </w:pPr>
            <w:r>
              <w:rPr>
                <w:b w:val="false"/>
              </w:rPr>
              <w:t>Total noninterest income</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60,869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35,821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3,173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99,863</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Noninterest expense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Salaries and employee benefits</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113,800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18,131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5,832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137,763</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Technology and data services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22,526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488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346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23,360</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Occupancy</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20,485</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Professional fees and outside services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10,648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1,349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(781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11,216</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Office supplies and postage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4,227</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FDIC assessment</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3,994</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Marketing</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1,855</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Amortization of intangible 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5,574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857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6,539</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Loan collection and other real estate owned, net</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1,154</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Acquisition expenses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xml:space="preserve">- </w:t>
            </w:r>
          </w:p>
        </w:tc>
        <w:tc>
          <w:tcPr>
            <w:tcW w:w="140" w:type="dxa"/>
            <w:tcBorders/>
            <w:vAlign w:val="center"/>
          </w:tcPr>
          <w:p>
            <w:pPr>
              <w:pStyle w:val="TableContents"/>
              <w:bidi w:val="0"/>
              <w:spacing w:before="0" w:after="283"/>
              <w:jc w:val="left"/>
              <w:rPr/>
            </w:pPr>
            <w:r>
              <w:rPr/>
              <w:t> </w:t>
            </w:r>
          </w:p>
        </w:tc>
      </w:tr>
      <w:tr>
        <w:trPr/>
        <w:tc>
          <w:tcPr>
            <w:tcW w:w="3795" w:type="dxa"/>
            <w:tcBorders>
              <w:bottom w:val="single" w:sz="12" w:space="0" w:color="000000"/>
            </w:tcBorders>
            <w:shd w:fill="CCEEFF" w:val="clear"/>
            <w:tcMar>
              <w:bottom w:w="28" w:type="dxa"/>
            </w:tcMar>
            <w:vAlign w:val="center"/>
          </w:tcPr>
          <w:p>
            <w:pPr>
              <w:pStyle w:val="TableContents"/>
              <w:bidi w:val="0"/>
              <w:spacing w:before="0" w:after="0"/>
              <w:jc w:val="left"/>
              <w:rPr/>
            </w:pPr>
            <w:r>
              <w:rPr>
                <w:b w:val="false"/>
              </w:rPr>
              <w:t>Other</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16,985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581</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(4,489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13,077</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95" w:type="dxa"/>
            <w:tcBorders>
              <w:bottom w:val="single" w:sz="12" w:space="0" w:color="000000"/>
            </w:tcBorders>
            <w:tcMar>
              <w:bottom w:w="28" w:type="dxa"/>
            </w:tcMar>
            <w:vAlign w:val="center"/>
          </w:tcPr>
          <w:p>
            <w:pPr>
              <w:pStyle w:val="TableContents"/>
              <w:bidi w:val="0"/>
              <w:spacing w:before="0" w:after="0"/>
              <w:jc w:val="left"/>
              <w:rPr/>
            </w:pPr>
            <w:r>
              <w:rPr>
                <w:b w:val="false"/>
              </w:rPr>
              <w:t>Total noninterest expense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200,425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w:t>
            </w:r>
          </w:p>
        </w:tc>
        <w:tc>
          <w:tcPr>
            <w:tcW w:w="1212" w:type="dxa"/>
            <w:tcBorders>
              <w:bottom w:val="single" w:sz="12" w:space="0" w:color="000000"/>
            </w:tcBorders>
            <w:tcMar>
              <w:bottom w:w="28" w:type="dxa"/>
            </w:tcMar>
            <w:vAlign w:val="center"/>
          </w:tcPr>
          <w:p>
            <w:pPr>
              <w:pStyle w:val="TableContents"/>
              <w:bidi w:val="0"/>
              <w:spacing w:before="0" w:after="283"/>
              <w:jc w:val="right"/>
              <w:rPr/>
            </w:pPr>
            <w:r>
              <w:rPr/>
              <w:t>22,039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w:t>
            </w:r>
          </w:p>
        </w:tc>
        <w:tc>
          <w:tcPr>
            <w:tcW w:w="1136" w:type="dxa"/>
            <w:tcBorders>
              <w:bottom w:val="single" w:sz="12" w:space="0" w:color="000000"/>
            </w:tcBorders>
            <w:tcMar>
              <w:bottom w:w="28" w:type="dxa"/>
            </w:tcMar>
            <w:vAlign w:val="center"/>
          </w:tcPr>
          <w:p>
            <w:pPr>
              <w:pStyle w:val="TableContents"/>
              <w:bidi w:val="0"/>
              <w:spacing w:before="0" w:after="283"/>
              <w:jc w:val="right"/>
              <w:rPr/>
            </w:pPr>
            <w:r>
              <w:rPr/>
              <w:t>1,206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223,670</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Income before income tax expense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120,006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13,818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1,967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135,791</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bottom w:val="single" w:sz="12" w:space="0" w:color="000000"/>
            </w:tcBorders>
            <w:tcMar>
              <w:bottom w:w="28" w:type="dxa"/>
            </w:tcMar>
            <w:vAlign w:val="center"/>
          </w:tcPr>
          <w:p>
            <w:pPr>
              <w:pStyle w:val="TableContents"/>
              <w:bidi w:val="0"/>
              <w:spacing w:before="0" w:after="0"/>
              <w:jc w:val="left"/>
              <w:rPr/>
            </w:pPr>
            <w:r>
              <w:rPr>
                <w:b w:val="false"/>
              </w:rPr>
              <w:t>Income tax expense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28,623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tcMar>
              <w:bottom w:w="28" w:type="dxa"/>
            </w:tcMar>
            <w:vAlign w:val="center"/>
          </w:tcPr>
          <w:p>
            <w:pPr>
              <w:pStyle w:val="TableContents"/>
              <w:bidi w:val="0"/>
              <w:spacing w:before="0" w:after="283"/>
              <w:jc w:val="right"/>
              <w:rPr/>
            </w:pPr>
            <w:r>
              <w:rPr/>
              <w:t>2,996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31,619</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795" w:type="dxa"/>
            <w:tcBorders>
              <w:bottom w:val="single" w:sz="12" w:space="0" w:color="000000"/>
            </w:tcBorders>
            <w:shd w:fill="CCEEFF" w:val="clear"/>
            <w:tcMar>
              <w:bottom w:w="28" w:type="dxa"/>
            </w:tcMar>
            <w:vAlign w:val="center"/>
          </w:tcPr>
          <w:p>
            <w:pPr>
              <w:pStyle w:val="TableContents"/>
              <w:bidi w:val="0"/>
              <w:spacing w:before="0" w:after="0"/>
              <w:jc w:val="left"/>
              <w:rPr/>
            </w:pPr>
            <w:r>
              <w:rPr>
                <w:b w:val="false"/>
              </w:rPr>
              <w:t>Net income</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91,383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10,822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1,967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104,172</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795" w:type="dxa"/>
            <w:tcBorders/>
            <w:vAlign w:val="center"/>
          </w:tcPr>
          <w:p>
            <w:pPr>
              <w:pStyle w:val="TableContents"/>
              <w:bidi w:val="0"/>
              <w:spacing w:before="0" w:after="0"/>
              <w:jc w:val="left"/>
              <w:rPr/>
            </w:pPr>
            <w:r>
              <w:rPr>
                <w:b w:val="false"/>
              </w:rPr>
              <w:t>Goodwill</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414,865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1212" w:type="dxa"/>
            <w:tcBorders/>
            <w:vAlign w:val="center"/>
          </w:tcPr>
          <w:p>
            <w:pPr>
              <w:pStyle w:val="TableContents"/>
              <w:bidi w:val="0"/>
              <w:spacing w:before="0" w:after="283"/>
              <w:jc w:val="right"/>
              <w:rPr/>
            </w:pPr>
            <w:r>
              <w:rPr/>
              <w:t>23,877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14,536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453,278</w:t>
            </w:r>
          </w:p>
        </w:tc>
        <w:tc>
          <w:tcPr>
            <w:tcW w:w="140" w:type="dxa"/>
            <w:tcBorders/>
            <w:vAlign w:val="center"/>
          </w:tcPr>
          <w:p>
            <w:pPr>
              <w:pStyle w:val="TableContents"/>
              <w:bidi w:val="0"/>
              <w:spacing w:before="0" w:after="283"/>
              <w:jc w:val="left"/>
              <w:rPr/>
            </w:pPr>
            <w:r>
              <w:rPr/>
              <w:t> </w:t>
            </w:r>
          </w:p>
        </w:tc>
      </w:tr>
      <w:tr>
        <w:trPr/>
        <w:tc>
          <w:tcPr>
            <w:tcW w:w="3795" w:type="dxa"/>
            <w:tcBorders/>
            <w:shd w:fill="CCEEFF" w:val="clear"/>
            <w:vAlign w:val="center"/>
          </w:tcPr>
          <w:p>
            <w:pPr>
              <w:pStyle w:val="TableContents"/>
              <w:bidi w:val="0"/>
              <w:spacing w:before="0" w:after="0"/>
              <w:jc w:val="left"/>
              <w:rPr/>
            </w:pPr>
            <w:r>
              <w:rPr>
                <w:b w:val="false"/>
              </w:rPr>
              <w:t>Intangible assets, net</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45,465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4,711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941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51,117</w:t>
            </w:r>
          </w:p>
        </w:tc>
        <w:tc>
          <w:tcPr>
            <w:tcW w:w="140" w:type="dxa"/>
            <w:tcBorders/>
            <w:shd w:fill="CCEEFF" w:val="clear"/>
            <w:vAlign w:val="center"/>
          </w:tcPr>
          <w:p>
            <w:pPr>
              <w:pStyle w:val="TableContents"/>
              <w:bidi w:val="0"/>
              <w:spacing w:before="0" w:after="283"/>
              <w:jc w:val="left"/>
              <w:rPr/>
            </w:pPr>
            <w:r>
              <w:rPr/>
              <w:t> </w:t>
            </w:r>
          </w:p>
        </w:tc>
      </w:tr>
      <w:tr>
        <w:trPr/>
        <w:tc>
          <w:tcPr>
            <w:tcW w:w="3795" w:type="dxa"/>
            <w:tcBorders>
              <w:bottom w:val="single" w:sz="12" w:space="0" w:color="000000"/>
            </w:tcBorders>
            <w:tcMar>
              <w:bottom w:w="28" w:type="dxa"/>
            </w:tcMar>
            <w:vAlign w:val="center"/>
          </w:tcPr>
          <w:p>
            <w:pPr>
              <w:pStyle w:val="TableContents"/>
              <w:bidi w:val="0"/>
              <w:spacing w:before="0" w:after="0"/>
              <w:jc w:val="left"/>
              <w:rPr/>
            </w:pPr>
            <w:r>
              <w:rPr>
                <w:b w:val="false"/>
              </w:rPr>
              <w:t>Total assets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18,192,349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tcMar>
              <w:bottom w:w="28" w:type="dxa"/>
            </w:tcMar>
            <w:vAlign w:val="center"/>
          </w:tcPr>
          <w:p>
            <w:pPr>
              <w:pStyle w:val="TableContents"/>
              <w:bidi w:val="0"/>
              <w:spacing w:before="0" w:after="283"/>
              <w:jc w:val="right"/>
              <w:rPr/>
            </w:pPr>
            <w:r>
              <w:rPr/>
              <w:t>47,189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tcMar>
              <w:bottom w:w="28" w:type="dxa"/>
            </w:tcMar>
            <w:vAlign w:val="center"/>
          </w:tcPr>
          <w:p>
            <w:pPr>
              <w:pStyle w:val="TableContents"/>
              <w:bidi w:val="0"/>
              <w:spacing w:before="0" w:after="283"/>
              <w:jc w:val="right"/>
              <w:rPr/>
            </w:pPr>
            <w:r>
              <w:rPr/>
              <w:t>(2,024,581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16,214,957</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Included in All Other is the revenue and expenses from certain other non-bank subsidiaries of the parent, including the insurance subsidiary, along with eliminating amounts that do not meet the definition of an operating segment.</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46685"/>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3257"/>
        <w:gridCol w:w="90"/>
        <w:gridCol w:w="170"/>
        <w:gridCol w:w="1130"/>
        <w:gridCol w:w="90"/>
        <w:gridCol w:w="90"/>
        <w:gridCol w:w="170"/>
        <w:gridCol w:w="1628"/>
        <w:gridCol w:w="90"/>
        <w:gridCol w:w="90"/>
        <w:gridCol w:w="170"/>
        <w:gridCol w:w="1229"/>
        <w:gridCol w:w="185"/>
        <w:gridCol w:w="90"/>
        <w:gridCol w:w="170"/>
        <w:gridCol w:w="1418"/>
        <w:gridCol w:w="138"/>
      </w:tblGrid>
      <w:tr>
        <w:trPr/>
        <w:tc>
          <w:tcPr>
            <w:tcW w:w="32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 </w:t>
            </w:r>
          </w:p>
        </w:tc>
        <w:tc>
          <w:tcPr>
            <w:tcW w:w="6948" w:type="dxa"/>
            <w:gridSpan w:val="16"/>
            <w:tcBorders>
              <w:bottom w:val="single" w:sz="12" w:space="0" w:color="000000"/>
            </w:tcBorders>
            <w:tcMar>
              <w:bottom w:w="28" w:type="dxa"/>
            </w:tcMar>
            <w:vAlign w:val="center"/>
          </w:tcPr>
          <w:p>
            <w:pPr>
              <w:pStyle w:val="TableContents"/>
              <w:bidi w:val="0"/>
              <w:spacing w:before="0" w:after="283"/>
              <w:jc w:val="center"/>
              <w:rPr/>
            </w:pPr>
            <w:r>
              <w:rPr>
                <w:b/>
              </w:rPr>
              <w:t>Six Months Ended June 30, 2025</w:t>
            </w:r>
            <w:r>
              <w:rPr/>
              <w:t xml:space="preserve"> </w:t>
            </w:r>
          </w:p>
        </w:tc>
      </w:tr>
      <w:tr>
        <w:trPr/>
        <w:tc>
          <w:tcPr>
            <w:tcW w:w="32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628" w:type="dxa"/>
            <w:tcBorders/>
            <w:vAlign w:val="center"/>
          </w:tcPr>
          <w:p>
            <w:pPr>
              <w:pStyle w:val="TableContents"/>
              <w:bidi w:val="0"/>
              <w:spacing w:before="0" w:after="283"/>
              <w:jc w:val="center"/>
              <w:rPr>
                <w:b/>
              </w:rPr>
            </w:pPr>
            <w:r>
              <w:rPr>
                <w:b/>
              </w:rPr>
              <w:t>Retirement</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22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18" w:type="dxa"/>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both"/>
              <w:rPr/>
            </w:pPr>
            <w:r>
              <w:rPr/>
              <w:t> </w:t>
            </w:r>
          </w:p>
        </w:tc>
      </w:tr>
      <w:tr>
        <w:trPr/>
        <w:tc>
          <w:tcPr>
            <w:tcW w:w="32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628" w:type="dxa"/>
            <w:tcBorders/>
            <w:vAlign w:val="center"/>
          </w:tcPr>
          <w:p>
            <w:pPr>
              <w:pStyle w:val="TableContents"/>
              <w:bidi w:val="0"/>
              <w:spacing w:before="0" w:after="283"/>
              <w:jc w:val="center"/>
              <w:rPr>
                <w:b/>
              </w:rPr>
            </w:pPr>
            <w:r>
              <w:rPr>
                <w:b/>
              </w:rPr>
              <w:t>Plan</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22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18" w:type="dxa"/>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both"/>
              <w:rPr/>
            </w:pPr>
            <w:r>
              <w:rPr/>
              <w:t> </w:t>
            </w:r>
          </w:p>
        </w:tc>
      </w:tr>
      <w:tr>
        <w:trPr/>
        <w:tc>
          <w:tcPr>
            <w:tcW w:w="3257"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Banking</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both"/>
              <w:rPr/>
            </w:pPr>
            <w:r>
              <w:rPr/>
              <w:t> </w:t>
            </w:r>
          </w:p>
        </w:tc>
        <w:tc>
          <w:tcPr>
            <w:tcW w:w="1628" w:type="dxa"/>
            <w:tcBorders>
              <w:bottom w:val="single" w:sz="12" w:space="0" w:color="000000"/>
            </w:tcBorders>
            <w:tcMar>
              <w:bottom w:w="28" w:type="dxa"/>
            </w:tcMar>
            <w:vAlign w:val="center"/>
          </w:tcPr>
          <w:p>
            <w:pPr>
              <w:pStyle w:val="TableContents"/>
              <w:bidi w:val="0"/>
              <w:spacing w:before="0" w:after="283"/>
              <w:jc w:val="center"/>
              <w:rPr/>
            </w:pPr>
            <w:r>
              <w:rPr>
                <w:b/>
              </w:rPr>
              <w:t>Administration</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both"/>
              <w:rPr/>
            </w:pPr>
            <w:r>
              <w:rPr/>
              <w:t> </w:t>
            </w:r>
          </w:p>
        </w:tc>
        <w:tc>
          <w:tcPr>
            <w:tcW w:w="1229" w:type="dxa"/>
            <w:tcBorders>
              <w:bottom w:val="single" w:sz="12" w:space="0" w:color="000000"/>
            </w:tcBorders>
            <w:tcMar>
              <w:bottom w:w="28" w:type="dxa"/>
            </w:tcMar>
            <w:vAlign w:val="center"/>
          </w:tcPr>
          <w:p>
            <w:pPr>
              <w:pStyle w:val="TableContents"/>
              <w:bidi w:val="0"/>
              <w:spacing w:before="0" w:after="283"/>
              <w:jc w:val="center"/>
              <w:rPr/>
            </w:pPr>
            <w:r>
              <w:rPr>
                <w:b/>
              </w:rPr>
              <w:t>All Other(1)</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both"/>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both"/>
              <w:rPr/>
            </w:pPr>
            <w:r>
              <w:rPr/>
              <w:t> </w:t>
            </w:r>
          </w:p>
        </w:tc>
        <w:tc>
          <w:tcPr>
            <w:tcW w:w="1418" w:type="dxa"/>
            <w:tcBorders>
              <w:bottom w:val="single" w:sz="12" w:space="0" w:color="000000"/>
            </w:tcBorders>
            <w:tcMar>
              <w:bottom w:w="28" w:type="dxa"/>
            </w:tcMar>
            <w:vAlign w:val="center"/>
          </w:tcPr>
          <w:p>
            <w:pPr>
              <w:pStyle w:val="TableContents"/>
              <w:bidi w:val="0"/>
              <w:spacing w:before="0" w:after="283"/>
              <w:jc w:val="center"/>
              <w:rPr/>
            </w:pPr>
            <w:r>
              <w:rPr>
                <w:b/>
              </w:rPr>
              <w:t>Consolidated</w:t>
            </w:r>
            <w:r>
              <w:rPr/>
              <w:t xml:space="preserve"> </w:t>
            </w:r>
          </w:p>
        </w:tc>
        <w:tc>
          <w:tcPr>
            <w:tcW w:w="138"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Net interest income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231,407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628" w:type="dxa"/>
            <w:tcBorders/>
            <w:shd w:fill="CCEEFF" w:val="cle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r>
              <w:rPr/>
              <w:t>231,443</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Provision for loan losses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25,389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28"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9"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tcMar>
              <w:bottom w:w="28" w:type="dxa"/>
            </w:tcMar>
            <w:vAlign w:val="center"/>
          </w:tcPr>
          <w:p>
            <w:pPr>
              <w:pStyle w:val="TableContents"/>
              <w:bidi w:val="0"/>
              <w:spacing w:before="0" w:after="283"/>
              <w:jc w:val="right"/>
              <w:rPr/>
            </w:pPr>
            <w:r>
              <w:rPr/>
              <w:t>25,389</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257"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Net interest income after provision for loan losses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206,018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28"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18" w:type="dxa"/>
            <w:tcBorders>
              <w:bottom w:val="single" w:sz="12" w:space="0" w:color="000000"/>
            </w:tcBorders>
            <w:shd w:fill="CCEEFF" w:val="clear"/>
            <w:tcMar>
              <w:bottom w:w="28" w:type="dxa"/>
            </w:tcMar>
            <w:vAlign w:val="center"/>
          </w:tcPr>
          <w:p>
            <w:pPr>
              <w:pStyle w:val="TableContents"/>
              <w:bidi w:val="0"/>
              <w:spacing w:before="0" w:after="283"/>
              <w:jc w:val="right"/>
              <w:rPr/>
            </w:pPr>
            <w:r>
              <w:rPr/>
              <w:t>206,054</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i/>
              </w:rPr>
              <w:t>Noninterest income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Service charges on deposit accounts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8,821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62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r>
              <w:rPr/>
              <w:t>8,821</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Card services income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11,394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11,394</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Retirement plan administration fees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32,337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(769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31,568</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Wealth management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20,490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1,115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21,624</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Insurance services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8,857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8,858</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Bank owned life insurance income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5,577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5,577</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Net securities gains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8</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10,631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28" w:type="dxa"/>
            <w:tcBorders>
              <w:bottom w:val="single" w:sz="12" w:space="0" w:color="000000"/>
            </w:tcBorders>
            <w:tcMar>
              <w:bottom w:w="28" w:type="dxa"/>
            </w:tcMar>
            <w:vAlign w:val="center"/>
          </w:tcPr>
          <w:p>
            <w:pPr>
              <w:pStyle w:val="TableContents"/>
              <w:bidi w:val="0"/>
              <w:spacing w:before="0" w:after="283"/>
              <w:jc w:val="right"/>
              <w:rPr/>
            </w:pPr>
            <w:r>
              <w:rPr/>
              <w:t>300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9" w:type="dxa"/>
            <w:tcBorders>
              <w:bottom w:val="single" w:sz="12" w:space="0" w:color="000000"/>
            </w:tcBorders>
            <w:tcMar>
              <w:bottom w:w="28" w:type="dxa"/>
            </w:tcMar>
            <w:vAlign w:val="center"/>
          </w:tcPr>
          <w:p>
            <w:pPr>
              <w:pStyle w:val="TableContents"/>
              <w:bidi w:val="0"/>
              <w:spacing w:before="0" w:after="283"/>
              <w:jc w:val="right"/>
              <w:rPr/>
            </w:pPr>
            <w:r>
              <w:rPr/>
              <w:t>(4,397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tcMar>
              <w:bottom w:w="28" w:type="dxa"/>
            </w:tcMar>
            <w:vAlign w:val="center"/>
          </w:tcPr>
          <w:p>
            <w:pPr>
              <w:pStyle w:val="TableContents"/>
              <w:bidi w:val="0"/>
              <w:spacing w:before="0" w:after="283"/>
              <w:jc w:val="right"/>
              <w:rPr/>
            </w:pPr>
            <w:r>
              <w:rPr/>
              <w:t>6,534</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257"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noninterest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56,922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28" w:type="dxa"/>
            <w:tcBorders>
              <w:bottom w:val="single" w:sz="12" w:space="0" w:color="000000"/>
            </w:tcBorders>
            <w:shd w:fill="CCEEFF" w:val="clear"/>
            <w:tcMar>
              <w:bottom w:w="28" w:type="dxa"/>
            </w:tcMar>
            <w:vAlign w:val="center"/>
          </w:tcPr>
          <w:p>
            <w:pPr>
              <w:pStyle w:val="TableContents"/>
              <w:bidi w:val="0"/>
              <w:spacing w:before="0" w:after="283"/>
              <w:jc w:val="right"/>
              <w:rPr/>
            </w:pPr>
            <w:r>
              <w:rPr/>
              <w:t>33,752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single" w:sz="12" w:space="0" w:color="000000"/>
            </w:tcBorders>
            <w:shd w:fill="CCEEFF" w:val="clear"/>
            <w:tcMar>
              <w:bottom w:w="28" w:type="dxa"/>
            </w:tcMar>
            <w:vAlign w:val="center"/>
          </w:tcPr>
          <w:p>
            <w:pPr>
              <w:pStyle w:val="TableContents"/>
              <w:bidi w:val="0"/>
              <w:spacing w:before="0" w:after="283"/>
              <w:jc w:val="right"/>
              <w:rPr/>
            </w:pPr>
            <w:r>
              <w:rPr/>
              <w:t>3,710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18" w:type="dxa"/>
            <w:tcBorders>
              <w:bottom w:val="single" w:sz="12" w:space="0" w:color="000000"/>
            </w:tcBorders>
            <w:shd w:fill="CCEEFF" w:val="clear"/>
            <w:tcMar>
              <w:bottom w:w="28" w:type="dxa"/>
            </w:tcMar>
            <w:vAlign w:val="center"/>
          </w:tcPr>
          <w:p>
            <w:pPr>
              <w:pStyle w:val="TableContents"/>
              <w:bidi w:val="0"/>
              <w:spacing w:before="0" w:after="283"/>
              <w:jc w:val="right"/>
              <w:rPr/>
            </w:pPr>
            <w:r>
              <w:rPr/>
              <w:t>94,384</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i/>
              </w:rPr>
              <w:t>Noninterest expense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Salaries and employee benefits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102,207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628" w:type="dxa"/>
            <w:tcBorders/>
            <w:shd w:fill="CCEEFF" w:val="clear"/>
            <w:vAlign w:val="center"/>
          </w:tcPr>
          <w:p>
            <w:pPr>
              <w:pStyle w:val="TableContents"/>
              <w:bidi w:val="0"/>
              <w:spacing w:before="0" w:after="283"/>
              <w:jc w:val="right"/>
              <w:rPr/>
            </w:pPr>
            <w:r>
              <w:rPr/>
              <w:t>17,154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5,488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r>
              <w:rPr/>
              <w:t>124,849</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Technology and data services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573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327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21,042</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Occupancy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17,379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552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18,065</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Professional fees and outside services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1,025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(718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9,973</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Office supplies and postage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3,813</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FDIC assessment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3,514</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Marketing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2,112</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Amortization of intangible assets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4,008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1,029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116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5,153</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Loan collection and other real estate owned, net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1,148</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Acquisition expenses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18,401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18,401</w:t>
            </w:r>
          </w:p>
        </w:tc>
        <w:tc>
          <w:tcPr>
            <w:tcW w:w="138" w:type="dxa"/>
            <w:tcBorders/>
            <w:vAlign w:val="center"/>
          </w:tcPr>
          <w:p>
            <w:pPr>
              <w:pStyle w:val="TableContents"/>
              <w:bidi w:val="0"/>
              <w:spacing w:before="0" w:after="283"/>
              <w:jc w:val="left"/>
              <w:rPr/>
            </w:pPr>
            <w:r>
              <w:rPr/>
              <w:t> </w:t>
            </w:r>
          </w:p>
        </w:tc>
      </w:tr>
      <w:tr>
        <w:trPr/>
        <w:tc>
          <w:tcPr>
            <w:tcW w:w="3257"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18,224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28" w:type="dxa"/>
            <w:tcBorders>
              <w:bottom w:val="single" w:sz="12" w:space="0" w:color="000000"/>
            </w:tcBorders>
            <w:shd w:fill="CCEEFF" w:val="clear"/>
            <w:tcMar>
              <w:bottom w:w="28" w:type="dxa"/>
            </w:tcMar>
            <w:vAlign w:val="center"/>
          </w:tcPr>
          <w:p>
            <w:pPr>
              <w:pStyle w:val="TableContents"/>
              <w:bidi w:val="0"/>
              <w:spacing w:before="0" w:after="283"/>
              <w:jc w:val="right"/>
              <w:rPr/>
            </w:pPr>
            <w:r>
              <w:rPr/>
              <w:t>508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12" w:space="0" w:color="000000"/>
            </w:tcBorders>
            <w:shd w:fill="CCEEFF" w:val="clear"/>
            <w:tcMar>
              <w:bottom w:w="28" w:type="dxa"/>
            </w:tcMar>
            <w:vAlign w:val="center"/>
          </w:tcPr>
          <w:p>
            <w:pPr>
              <w:pStyle w:val="TableContents"/>
              <w:bidi w:val="0"/>
              <w:spacing w:before="0" w:after="283"/>
              <w:jc w:val="right"/>
              <w:rPr/>
            </w:pPr>
            <w:r>
              <w:rPr/>
              <w:t>(4,292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shd w:fill="CCEEFF" w:val="clear"/>
            <w:tcMar>
              <w:bottom w:w="28" w:type="dxa"/>
            </w:tcMar>
            <w:vAlign w:val="center"/>
          </w:tcPr>
          <w:p>
            <w:pPr>
              <w:pStyle w:val="TableContents"/>
              <w:bidi w:val="0"/>
              <w:spacing w:before="0" w:after="283"/>
              <w:jc w:val="right"/>
              <w:rPr/>
            </w:pPr>
            <w:r>
              <w:rPr/>
              <w:t>14,440</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257" w:type="dxa"/>
            <w:tcBorders>
              <w:bottom w:val="single" w:sz="12" w:space="0" w:color="000000"/>
            </w:tcBorders>
            <w:tcMar>
              <w:bottom w:w="28" w:type="dxa"/>
            </w:tcMar>
            <w:vAlign w:val="center"/>
          </w:tcPr>
          <w:p>
            <w:pPr>
              <w:pStyle w:val="TableContents"/>
              <w:bidi w:val="0"/>
              <w:spacing w:before="0" w:after="0"/>
              <w:jc w:val="left"/>
              <w:rPr/>
            </w:pPr>
            <w:r>
              <w:rPr/>
              <w:t xml:space="preserve">Total noninterest expense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200,423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628" w:type="dxa"/>
            <w:tcBorders>
              <w:bottom w:val="single" w:sz="12" w:space="0" w:color="000000"/>
            </w:tcBorders>
            <w:tcMar>
              <w:bottom w:w="28" w:type="dxa"/>
            </w:tcMar>
            <w:vAlign w:val="center"/>
          </w:tcPr>
          <w:p>
            <w:pPr>
              <w:pStyle w:val="TableContents"/>
              <w:bidi w:val="0"/>
              <w:spacing w:before="0" w:after="283"/>
              <w:jc w:val="right"/>
              <w:rPr/>
            </w:pPr>
            <w:r>
              <w:rPr/>
              <w:t>21,001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29" w:type="dxa"/>
            <w:tcBorders>
              <w:bottom w:val="single" w:sz="12" w:space="0" w:color="000000"/>
            </w:tcBorders>
            <w:tcMar>
              <w:bottom w:w="28" w:type="dxa"/>
            </w:tcMar>
            <w:vAlign w:val="center"/>
          </w:tcPr>
          <w:p>
            <w:pPr>
              <w:pStyle w:val="TableContents"/>
              <w:bidi w:val="0"/>
              <w:spacing w:before="0" w:after="283"/>
              <w:jc w:val="right"/>
              <w:rPr/>
            </w:pPr>
            <w:r>
              <w:rPr/>
              <w:t>1,086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418" w:type="dxa"/>
            <w:tcBorders>
              <w:bottom w:val="single" w:sz="12" w:space="0" w:color="000000"/>
            </w:tcBorders>
            <w:tcMar>
              <w:bottom w:w="28" w:type="dxa"/>
            </w:tcMar>
            <w:vAlign w:val="center"/>
          </w:tcPr>
          <w:p>
            <w:pPr>
              <w:pStyle w:val="TableContents"/>
              <w:bidi w:val="0"/>
              <w:spacing w:before="0" w:after="283"/>
              <w:jc w:val="right"/>
              <w:rPr/>
            </w:pPr>
            <w:r>
              <w:rPr/>
              <w:t>222,510</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Income before income tax expense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62,517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628" w:type="dxa"/>
            <w:tcBorders/>
            <w:shd w:fill="CCEEFF" w:val="clear"/>
            <w:vAlign w:val="center"/>
          </w:tcPr>
          <w:p>
            <w:pPr>
              <w:pStyle w:val="TableContents"/>
              <w:bidi w:val="0"/>
              <w:spacing w:before="0" w:after="283"/>
              <w:jc w:val="right"/>
              <w:rPr/>
            </w:pPr>
            <w:r>
              <w:rPr/>
              <w:t>12,787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2,624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r>
              <w:rPr/>
              <w:t>77,928</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Income tax expense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15,968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28" w:type="dxa"/>
            <w:tcBorders>
              <w:bottom w:val="single" w:sz="12" w:space="0" w:color="000000"/>
            </w:tcBorders>
            <w:tcMar>
              <w:bottom w:w="28" w:type="dxa"/>
            </w:tcMar>
            <w:vAlign w:val="center"/>
          </w:tcPr>
          <w:p>
            <w:pPr>
              <w:pStyle w:val="TableContents"/>
              <w:bidi w:val="0"/>
              <w:spacing w:before="0" w:after="283"/>
              <w:jc w:val="right"/>
              <w:rPr/>
            </w:pPr>
            <w:r>
              <w:rPr/>
              <w:t>2,705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9"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tcMar>
              <w:bottom w:w="28" w:type="dxa"/>
            </w:tcMar>
            <w:vAlign w:val="center"/>
          </w:tcPr>
          <w:p>
            <w:pPr>
              <w:pStyle w:val="TableContents"/>
              <w:bidi w:val="0"/>
              <w:spacing w:before="0" w:after="283"/>
              <w:jc w:val="right"/>
              <w:rPr/>
            </w:pPr>
            <w:r>
              <w:rPr/>
              <w:t>18,673</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257"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Net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46,549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28" w:type="dxa"/>
            <w:tcBorders>
              <w:bottom w:val="single" w:sz="12" w:space="0" w:color="000000"/>
            </w:tcBorders>
            <w:shd w:fill="CCEEFF" w:val="clear"/>
            <w:tcMar>
              <w:bottom w:w="28" w:type="dxa"/>
            </w:tcMar>
            <w:vAlign w:val="center"/>
          </w:tcPr>
          <w:p>
            <w:pPr>
              <w:pStyle w:val="TableContents"/>
              <w:bidi w:val="0"/>
              <w:spacing w:before="0" w:after="283"/>
              <w:jc w:val="right"/>
              <w:rPr/>
            </w:pPr>
            <w:r>
              <w:rPr/>
              <w:t>10,082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single" w:sz="12" w:space="0" w:color="000000"/>
            </w:tcBorders>
            <w:shd w:fill="CCEEFF" w:val="clear"/>
            <w:tcMar>
              <w:bottom w:w="28" w:type="dxa"/>
            </w:tcMar>
            <w:vAlign w:val="center"/>
          </w:tcPr>
          <w:p>
            <w:pPr>
              <w:pStyle w:val="TableContents"/>
              <w:bidi w:val="0"/>
              <w:spacing w:before="0" w:after="283"/>
              <w:jc w:val="right"/>
              <w:rPr/>
            </w:pPr>
            <w:r>
              <w:rPr/>
              <w:t>2,624</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18" w:type="dxa"/>
            <w:tcBorders>
              <w:bottom w:val="single" w:sz="12" w:space="0" w:color="000000"/>
            </w:tcBorders>
            <w:shd w:fill="CCEEFF" w:val="clear"/>
            <w:tcMar>
              <w:bottom w:w="28" w:type="dxa"/>
            </w:tcMar>
            <w:vAlign w:val="center"/>
          </w:tcPr>
          <w:p>
            <w:pPr>
              <w:pStyle w:val="TableContents"/>
              <w:bidi w:val="0"/>
              <w:spacing w:before="0" w:after="283"/>
              <w:jc w:val="right"/>
              <w:rPr/>
            </w:pPr>
            <w:r>
              <w:rPr/>
              <w:t>59,255</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0"/>
              <w:ind w:left="0" w:right="0" w:hanging="144"/>
              <w:jc w:val="left"/>
              <w:rPr/>
            </w:pPr>
            <w:r>
              <w:rPr/>
              <w:t xml:space="preserve">Goodwill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415,659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628" w:type="dxa"/>
            <w:tcBorders/>
            <w:vAlign w:val="center"/>
          </w:tcPr>
          <w:p>
            <w:pPr>
              <w:pStyle w:val="TableContents"/>
              <w:bidi w:val="0"/>
              <w:spacing w:before="0" w:after="283"/>
              <w:jc w:val="right"/>
              <w:rPr/>
            </w:pPr>
            <w:r>
              <w:rPr/>
              <w:t>23,877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229" w:type="dxa"/>
            <w:tcBorders/>
            <w:vAlign w:val="center"/>
          </w:tcPr>
          <w:p>
            <w:pPr>
              <w:pStyle w:val="TableContents"/>
              <w:bidi w:val="0"/>
              <w:spacing w:before="0" w:after="283"/>
              <w:jc w:val="right"/>
              <w:rPr/>
            </w:pPr>
            <w:r>
              <w:rPr/>
              <w:t>14,536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1418" w:type="dxa"/>
            <w:tcBorders/>
            <w:vAlign w:val="center"/>
          </w:tcPr>
          <w:p>
            <w:pPr>
              <w:pStyle w:val="TableContents"/>
              <w:bidi w:val="0"/>
              <w:spacing w:before="0" w:after="283"/>
              <w:jc w:val="right"/>
              <w:rPr/>
            </w:pPr>
            <w:r>
              <w:rPr/>
              <w:t>454,072</w:t>
            </w:r>
          </w:p>
        </w:tc>
        <w:tc>
          <w:tcPr>
            <w:tcW w:w="138" w:type="dxa"/>
            <w:tcBorders/>
            <w:vAlign w:val="center"/>
          </w:tcPr>
          <w:p>
            <w:pPr>
              <w:pStyle w:val="TableContents"/>
              <w:bidi w:val="0"/>
              <w:spacing w:before="0" w:after="283"/>
              <w:jc w:val="left"/>
              <w:rPr/>
            </w:pPr>
            <w:r>
              <w:rPr/>
              <w:t> </w:t>
            </w:r>
          </w:p>
        </w:tc>
      </w:tr>
      <w:tr>
        <w:trPr/>
        <w:tc>
          <w:tcPr>
            <w:tcW w:w="3257" w:type="dxa"/>
            <w:tcBorders/>
            <w:shd w:fill="CCEEFF" w:val="clear"/>
            <w:vAlign w:val="center"/>
          </w:tcPr>
          <w:p>
            <w:pPr>
              <w:pStyle w:val="TableContents"/>
              <w:bidi w:val="0"/>
              <w:spacing w:before="0" w:after="0"/>
              <w:ind w:left="0" w:right="0" w:hanging="144"/>
              <w:jc w:val="left"/>
              <w:rPr/>
            </w:pPr>
            <w:r>
              <w:rPr/>
              <w:t xml:space="preserve">Intangible assets, net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56,785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628" w:type="dxa"/>
            <w:tcBorders/>
            <w:shd w:fill="CCEEFF" w:val="clear"/>
            <w:vAlign w:val="center"/>
          </w:tcPr>
          <w:p>
            <w:pPr>
              <w:pStyle w:val="TableContents"/>
              <w:bidi w:val="0"/>
              <w:spacing w:before="0" w:after="283"/>
              <w:jc w:val="right"/>
              <w:rPr/>
            </w:pPr>
            <w:r>
              <w:rPr/>
              <w:t>6,504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1,158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64,447</w:t>
            </w:r>
          </w:p>
        </w:tc>
        <w:tc>
          <w:tcPr>
            <w:tcW w:w="138" w:type="dxa"/>
            <w:tcBorders/>
            <w:shd w:fill="CCEEFF" w:val="clear"/>
            <w:vAlign w:val="center"/>
          </w:tcPr>
          <w:p>
            <w:pPr>
              <w:pStyle w:val="TableContents"/>
              <w:bidi w:val="0"/>
              <w:spacing w:before="0" w:after="283"/>
              <w:jc w:val="left"/>
              <w:rPr/>
            </w:pPr>
            <w:r>
              <w:rPr/>
              <w:t> </w:t>
            </w:r>
          </w:p>
        </w:tc>
      </w:tr>
      <w:tr>
        <w:trPr/>
        <w:tc>
          <w:tcPr>
            <w:tcW w:w="3257"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assets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18,013,397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628" w:type="dxa"/>
            <w:tcBorders>
              <w:bottom w:val="single" w:sz="12" w:space="0" w:color="000000"/>
            </w:tcBorders>
            <w:tcMar>
              <w:bottom w:w="28" w:type="dxa"/>
            </w:tcMar>
            <w:vAlign w:val="center"/>
          </w:tcPr>
          <w:p>
            <w:pPr>
              <w:pStyle w:val="TableContents"/>
              <w:bidi w:val="0"/>
              <w:spacing w:before="0" w:after="283"/>
              <w:jc w:val="right"/>
              <w:rPr/>
            </w:pPr>
            <w:r>
              <w:rPr/>
              <w:t>48,642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9" w:type="dxa"/>
            <w:tcBorders>
              <w:bottom w:val="single" w:sz="12" w:space="0" w:color="000000"/>
            </w:tcBorders>
            <w:tcMar>
              <w:bottom w:w="28" w:type="dxa"/>
            </w:tcMar>
            <w:vAlign w:val="center"/>
          </w:tcPr>
          <w:p>
            <w:pPr>
              <w:pStyle w:val="TableContents"/>
              <w:bidi w:val="0"/>
              <w:spacing w:before="0" w:after="283"/>
              <w:jc w:val="right"/>
              <w:rPr/>
            </w:pPr>
            <w:r>
              <w:rPr/>
              <w:t>(2,047,258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both"/>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tcMar>
              <w:bottom w:w="28" w:type="dxa"/>
            </w:tcMar>
            <w:vAlign w:val="center"/>
          </w:tcPr>
          <w:p>
            <w:pPr>
              <w:pStyle w:val="TableContents"/>
              <w:bidi w:val="0"/>
              <w:spacing w:before="0" w:after="283"/>
              <w:jc w:val="right"/>
              <w:rPr/>
            </w:pPr>
            <w:r>
              <w:rPr/>
              <w:t>16,014,781</w:t>
            </w:r>
          </w:p>
        </w:tc>
        <w:tc>
          <w:tcPr>
            <w:tcW w:w="138"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Included in All Other is the revenue and expenses from certain other non-bank subsidiaries of the parent, including the insurance subsidiary, along with eliminating amounts that do not meet the definition of an operating segment.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46685"/>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NBT BANCORP INC. AND SUBSIDIARIES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w:t>
      </w:r>
    </w:p>
    <w:p>
      <w:pPr>
        <w:pStyle w:val="TextBody"/>
        <w:bidi w:val="0"/>
        <w:spacing w:before="0" w:after="0"/>
        <w:ind w:left="0" w:right="0" w:hanging="900"/>
        <w:jc w:val="left"/>
        <w:rPr>
          <w:rFonts w:ascii="TimesNewRoman;Times New Roman;Times;Baskerville;Georgia;serif" w:hAnsi="TimesNewRoman;Times New Roman;Times;Baskerville;Georgia;serif"/>
          <w:sz w:val="20"/>
        </w:rPr>
      </w:pPr>
      <w:bookmarkStart w:id="12" w:name="MANAGEMENTS_DISCUSSION_AND_ANALYSIS"/>
      <w:bookmarkEnd w:id="12"/>
      <w:r>
        <w:rPr>
          <w:rFonts w:ascii="TimesNewRoman;Times New Roman;Times;Baskerville;Georgia;serif" w:hAnsi="TimesNewRoman;Times New Roman;Times;Baskerville;Georgia;serif"/>
          <w:b/>
          <w:sz w:val="20"/>
        </w:rPr>
        <w:t>MANAGEMENT’S DISCUSSION AND ANALYSIS OF FINANCIAL CONDITION AND RESULTS OF OPERATIONS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5715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2.</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w:t>
                      </w:r>
                      <w:r>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purpose of this discussion and analysis is to provide a concise description of the consolidated financial condition and results of operations of NBT Bancorp Inc. (“NBT”) and its wholly-owned subsidiaries, including NBT Bank, National Association (the “Bank”), NBT Financial Services, Inc. (“NBT Financial”) and NBT Holdings, Inc. (“NBT Holdings”) (collectively referred to herein as the “Company”). When references to “NBT,” “we,” “our,” “us,” and “the Company” are made in this report, we mean NBT Bancorp Inc. and our consolidated subsidiaries, unless the context indicates that we refer only to the parent company, NBT Bancorp Inc. When we refer to the “Bank” in this report, we mean our only bank subsidiary, NBT Bank, National Association, and its subsidiaries. This discussion will focus on results of operations and financial condition, including capital resources and asset/liability management. Reference should be made to the Company’s consolidated financial statements and footnotes thereto included in this Form 10</w:t>
        <w:noBreakHyphen/>
        <w:t>Q as well as to the Company’s Annual Report on Form 10</w:t>
        <w:noBreakHyphen/>
        <w:t xml:space="preserve">K for the year ended December 31, 2025 for an understanding of the following discussion and analysis. Operating results for the three and six months ended June 30, 2026 are not necessarily indicative of the results of the full year ending December 31, 2026 or any future period.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Forward-Looking Statements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Certain statements in this filing and future filings by the Company with the SEC, in the Company’s press releases or other public or stockholder communications or in oral statements made with the approval of an authorized executive officer, contain forward-looking statements, as defined in the Private Securities Litigation Reform Act of 1995. These statements may be identified by the use of phrases such as “anticipate,” “believe,” “expect,” “forecasts,” “projects,” “will,” “can,” “would,” “should,” “could,” “may,” or other similar terms. There are a number of factors, many of which are beyond the Company’s control, that could cause actual results to differ materially from those contemplated by any forward-looking statements. Factors that may cause actual results to differ materially from those contemplated by such forward-looking statements include, among others, the following possibilities: (1) local, regional, national and international economic conditions, including actual or potential stress in the banking industry, and the impact they may have on the Company and its customers, and the Company’s assessment of that impact; (2) changes in the level of nonperforming assets and charge-offs; (3) changes in estimates of future reserve requirements based upon the periodic review thereof under relevant regulatory and accounting requirements; (4) the effects of and changes in trade and monetary and fiscal policies and laws, including the interest rate policies of the FRB and international trade disputes (including threatened or implemented tariffs imposed by the U.S. and threatened or implemented tariffs imposed by foreign countries in retaliation); (5) inflation, interest rate, securities market and monetary fluctuations; (6) political instability; (7) acts of war, including international military conflicts, or terrorism; (8) the timely development and acceptance of new products and services and the perceived overall value of these products and services by users; (9) changes in consumer spending, borrowing and saving habits; (10) changes in the financial performance and/or condition of the Company’s borrowers; (11) technological changes; (12) acquisition and integration of acquired businesses; (13) the ability to increase market share and control expenses; (14) changes in the competitive environment among financial holding companies; (15) the effect of changes in laws and regulations (including laws and regulations concerning taxes, banking, securities and insurance) with which the Company and its subsidiaries must comply, including those under the Dodd-Frank Act, and the Economic Growth, Regulatory Relief, and Consumer Protection Act of 2018; (16) the effect of changes in accounting policies and practices, as may be adopted by the regulatory agencies, as well as the Public Company Accounting Oversight Board, the Financial Accounting Standards Board and other accounting standard setters; (17) changes in the Company’s organization, compensation and benefit plans; (18) the costs and effects of legal and regulatory developments, including the resolution of legal proceedings or regulatory or other governmental inquiries, and the results of regulatory examinations or reviews; (19) greater than expected costs or difficulties related to the integration of new products and lines of business; and (20) the Company’s success at managing the risks involved in the foregoing items.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cautions readers not to place undue reliance on any forward-looking statements, which speak only as of the date on which they are made, and advises readers that various factors, including, but not limited to, those described above and other factors discussed in the Company’s annual and quarterly reports previously filed with the SEC, could affect the Company’s financial performance and could cause the Company’s actual results or circumstances for future periods to differ materially from those anticipated or projected.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Unless required by law, the Company does not undertake, and specifically disclaims any obligations to, publicly release any revisions that may be made to any forward-looking statements to reflect the occurrence of anticipated or unanticipated events or circumstances after the date of such statements.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Non-GAAP Measures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Quarterly Report on Form 10-Q contains financial information determined by methods other than in accordance with GAAP. Where non-GAAP disclosures are used in this Form 10-Q, the comparable GAAP measure, as well as a reconciliation to the comparable GAAP measure, is provided in the accompanying tables. Management believes that these non-GAAP measures provide useful information that is important to an understanding of the results of the Company’s core business as well as provide information standard in the financial institution industry. Non-GAAP measures should not be considered a substitute for financial measures determined in accordance with GAAP and investors should consider the Company’s performance and financial condition as reported under GAAP and all other relevant information when assessing the performance or financial condition of the Company. Amounts previously reported in the consolidated financial statements are reclassified whenever necessary to conform to current period presentation.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Critical Accounting Estimates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SEC guidance requires disclosure of “critical accounting estimates.” The SEC defines “critical accounting estimates” as those estimates made in accordance with GAAP that involve a significant level of estimation uncertainty and have had or are reasonably likely to have a material impact on the financial condition or results of operations of the registrant. The Company follows financial accounting and reporting policies that are in accordance with GAAP. The more significant of these policies are summarized in Note 1 to the consolidated financial statements presented in our 2025 Annual Report on Form 10-K. Management has reviewed the application of these estimates with the Audit Committee of NBT’s Board of Directors. The allowance for credit losses and unfunded commitments policies are deemed to meet the SEC’s definition of a critical accounting estimate.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i/>
          <w:sz w:val="20"/>
        </w:rPr>
        <w:t>Allowance for Credit Losses and Unfunded Commitments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consists of the allowance for credit losses and the allowance for losses on unfunded commitments. The measurement of CECL on financial instruments requires an estimate of the credit losses expected over the life of an exposure (or pool of exposures). The estimate of expected credit losses under the CECL methodology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allowance for credit losses for loans, as reported in our consolidated statements of financial condition, is adjusted by an expense for credit losses, which is recognized in earnings, and reduced by the charge-off of loan amounts, net of recoveries. The allowance for losses on unfunded commitments represents the expected credit losses on off-balance sheet commitments such as unfunded commitments to extend credit and standby letters of credit. However, a liability is not recognized for commitments unconditionally cancellable by the Company. The allowance for losses on unfunded commitments is determined by estimating future draws and applying the expected loss rates on those draws.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Management of the Company considers the accounting policy relating to the allowance for credit losses to be a critical accounting estimate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The impact of utilizing the CECL methodology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to the reserve for credit losses, and therefore, greater volatility to our reported earnings.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One of the most significant judgments involved in estimating the Company’s allowance for credit losses relates to the macroeconomic forecasts used to estimate expected credit losses over the forecast period. At June 30, 2026, the weightings were 60%, 5% and 35% for the baseline, upside and downside economic forecast scenarios, respectively. The baseline outlook reflected an economic environment where the northeast unemployment rate increases from 4.46% in the second quarter of 2026 to 4.65% by the end of the forecast period, with a peak northeast unemployment rate of 4.69% in the second quarter of 2027. National GDP annualized growth (on a quarterly basis) is expected to start the third quarter of 2026 at approximately 1.95% and decrease to 1.93% by the end of the forecast period. Key assumptions in the baseline economic outlook included the Federal Reserve keeping their policy rate in the current range of 3.50%-3.75% and the economy remaining at full employment. The alternative upside scenario assumes improved economic conditions from the baseline outlook. Under this scenario, northeast unemployment falls from 4.46% in the second quarter of 2026 to 3.85% in the third quarter of 2027 and eventually settles at 3.90% by the end of the forecast period. The alternative downside scenario with recessionary conditions assumes deteriorated economic conditions from the baseline outlook. Under this scenario, northeast unemployment rises from 4.46% in the second quarter of 2026 to a peak of 7.81% in the third quarter of 2027. These scenarios and their respective weightings are evaluated at each measurement date and reflect management’s expectations as of June 30, 2026. Additional qualitative adjustments were made for factors not incorporated in the forecasts or the model, such as loss rate expectations for certain loan pools.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demonstrate the sensitivity of the allowance for credit losses estimate to macroeconomic forecast weightings assumptions as of June 30, 2026, the Company changed the scenario weightings, with a 10% increase to the downside scenario and a 10% decrease to the baseline scenario causing a 3.6% increase in the overall estimated allowance for credit losses. If instead the upside scenario was increased 10% and the baseline scenario was decreased 10%, the overall estimated allowance for credit losses decreased 0.8%. To further demonstrate the sensitivity of the allowance for credit losses estimate to macroeconomic forecast weightings assumptions as of June 30, 2026, the Company increased the downside scenario to 100% which resulted in a 23.8% increase in the overall estimated allowance for credit losses.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Company’s policies on the CECL methodology for allowance for credit losses are disclosed in Note 1 to the consolidated financial statements presented in our 2025 Annual Report on Form 10-K. All accounting policies are important and as such, the Company encourages the reader to review each of the policies included in Note 1 to the consolidated financial statements presented in our 2025 Annual Report on Form 10-K to obtain a better understanding of how the Company’s financial performance is reported. The Company’s critical accounting policies are described in detail in Part II Item 7. in the 2025 Annual Report on Form 10-K and there have been no material changes in such policies since the date of that report. Refer to Note 3 to the unaudited interim consolidated financial statements in this Quarterly Report on Form 10-Q for recently adopted accounting standards.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Evans Bancorp, Inc. Merger</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May 2, 2025, the Company completed the acquisition of Evans, through the merger of Evans with and into the Company, with the Company surviving the merger. Total consideration for the acquisition was $221.8 million in common stock. Evans, with assets of $2.19 billion at December 31, 2024, was headquartered in Williamsville, New York. Its primary subsidiary, Evans Bank, was a federally-chartered national banking association operating 18 banking locations in Western New York. The acquisition enhances the Company’s presence in Western New York, including the Buffalo and Rochester communities. In connection with the acquisition, the Company issued 5.1 million shares of common stock and acquired approximately $131.2 million of identifiable net assets, including $1.67 billion of loans, $255.5 million in AFS investment securities, which were sold during the second quarter of 2025, $33.2 million of core deposit intangibles and $1.86 billion in deposits. As of the acquisition date, the fair value discount was $95.2 million for loans, net of the reclassification of the PCD allowance and $0.6 million net discount related to long-term debt.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incurred acquisition expenses related to the merger of $17.2 million and $18.4 million for the three and six months ended June 30, 2025, respectively.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Executive Summary</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Significant factors management reviews to evaluate the Company’s operating results and financial condition include, but are not limited to, net income and EPS, return on average assets and equity, NIM, noninterest income, operating expenses, asset quality indicators, loan and deposit growth, capital management, liquidity and interest rate sensitivity, enhancements to customer products and services, technology advancements, market share and peer comparisons.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income for the three months ended June 30, 2026 was $53.0 million, up $1.9 million from the first quarter of 2026 and up $30.5 million from the second quarter of 2025. Diluted earnings per share were $1.02 for the three months ended June 30, 2026, up $0.04 from the first quarter of 2026 and up $0.58 from the second quarter of 2025. Net income for the six months ended June 30, 2026 was $104.2 million, or $1.99 per diluted common share, up $44.9 million from $59.3 million, or $1.21 per diluted common share for the six months ended June 30,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Operating net income</w:t>
      </w:r>
      <w:r>
        <w:rPr>
          <w:rFonts w:ascii="TimesNewRoman;Times New Roman;Times;Baskerville;Georgia;serif" w:hAnsi="TimesNewRoman;Times New Roman;Times;Baskerville;Georgia;serif"/>
          <w:sz w:val="14"/>
        </w:rPr>
        <w:t>(1)</w:t>
      </w:r>
      <w:r>
        <w:rPr>
          <w:rFonts w:ascii="TimesNewRoman;Times New Roman;Times;Baskerville;Georgia;serif" w:hAnsi="TimesNewRoman;Times New Roman;Times;Baskerville;Georgia;serif"/>
          <w:sz w:val="20"/>
        </w:rPr>
        <w:t>, a non-GAAP measure, was $52.9 million, or $1.01 per diluted common share, for the three months ended June 30, 2026, compared to $0.97 per diluted common share for the first quarter of 2026 and $0.88 per diluted common share for the second quarter of 2025. Operating net income</w:t>
      </w:r>
      <w:r>
        <w:rPr>
          <w:rFonts w:ascii="TimesNewRoman;Times New Roman;Times;Baskerville;Georgia;serif" w:hAnsi="TimesNewRoman;Times New Roman;Times;Baskerville;Georgia;serif"/>
          <w:sz w:val="14"/>
        </w:rPr>
        <w:t>(1)</w:t>
      </w:r>
      <w:r>
        <w:rPr>
          <w:rFonts w:ascii="TimesNewRoman;Times New Roman;Times;Baskerville;Georgia;serif" w:hAnsi="TimesNewRoman;Times New Roman;Times;Baskerville;Georgia;serif"/>
          <w:sz w:val="20"/>
        </w:rPr>
        <w:t xml:space="preserve"> for the six months ended June 30, 2026 was $103.7 million, or $1.98 per diluted common share, up $20.3 million from $83.4 million, or $1.70 per diluted common share for the six months ended June 30, 2025.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information should be considered in connection with the Company’s results for the three and six months ended June 30, 2026: </w:t>
      </w:r>
    </w:p>
    <w:p>
      <w:pPr>
        <w:pStyle w:val="TextBody"/>
        <w:bidi w:val="0"/>
        <w:spacing w:before="0" w:after="0"/>
        <w:ind w:left="945"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interest income for the three months ended June 30, 2026 was $137.0 million, up $2.6 million, or 1.9%, from the first quarter of 2026 and up $12.7 million, or 10.3%, from the second quarter of 2025. Net interest income for the six months ended June 30, 2026 was $271.3 million, up $39.9 million, or 17.2%, from the same period in 2025.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FTE NIM</w:t>
      </w:r>
      <w:r>
        <w:rPr>
          <w:rFonts w:ascii="TimesNewRoman;Times New Roman;Times;Baskerville;Georgia;serif" w:hAnsi="TimesNewRoman;Times New Roman;Times;Baskerville;Georgia;serif"/>
          <w:sz w:val="14"/>
        </w:rPr>
        <w:t>(1)</w:t>
      </w:r>
      <w:r>
        <w:rPr>
          <w:rFonts w:ascii="TimesNewRoman;Times New Roman;Times;Baskerville;Georgia;serif" w:hAnsi="TimesNewRoman;Times New Roman;Times;Baskerville;Georgia;serif"/>
          <w:sz w:val="20"/>
        </w:rPr>
        <w:t xml:space="preserve">, a non-GAAP measure, was 3.73% for the three months ended June 30, 2026, an increase of 1 bp from the previous quarter and an increase of 14 bps from the second quarter of 2025. FTE NIM was 3.73% for the six months ended June 30, 2026, an increase of 21 bps from the same period in 2025.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recorded a provision for loan losses of $6.1 million for the three months ended June 30, 2026, compared to $5.6 million in the first quarter of 2026 and $17.8 million in the second quarter of 2025. Provision for loan losses was $11.7 million for the six months ended June 30, 2026, down $13.7 million from the same period in 2025. Included in the provision expense for the three and six months ended June 30, 2025 was $13.0 million of acquisition-related provision for loan losses.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Excluding securities gains, noninterest income represented 27% of total revenues and was $49.6 million for the three months ended June 30, 2026, consistent with the first quarter of 2026 and up $2.7 million, or 5.8%, from the second quarter of 2025. Excluding securities gains, noninterest income was $99.2 million for the six months ended June 30, 2026 up $4.9 million from the same period in 2025.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Noninterest expense, excluding acquisition expenses, was down $0.8 million, or 0.7%, from the first quarter of 2026 and was up $6.0 million, or 5.7%, from the second quarter of 2025. Noninterest expense, excluding acquisition expenses, was $223.7 million for the six months ended June 30, 2026, up $19.6 million from the same period in 2025.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Period end total loans were $11.87 billion, up $276.0 million, or 2.4%, from December 31, 2025.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Credit quality metrics including net charge-offs to average loans were 0.16%, annualized, and allowance for loan losses to total loans was 1.18%.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Period end total deposits were $13.54 billion, up $38.1 million from December 31, 2025. The loan to deposit ratio was 87.7% as of June 30, 2026 and 85.9% as of December 31, 2025.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June 30, 2026, the Company redeemed $25 million of subordinated debt that had a fixed rate of 3.50% using existing liquidity sources. The $25 million of subordinated debt converted to a floating rate at 6.50% in the second quarter of 2026.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acquisition of Evans through the merger of Evans with and into the Company was completed on May 2, 2025. The Company incurred acquisition expenses of $17.2 million and $18.4 million for the three and six months ended June 30, 2025, respectively, related to the merger with Evans in 2025.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Non-GAAP measure - Refer to non-GAAP reconciliation below.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0" w:right="0" w:hanging="54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Results of Operations</w:t>
      </w:r>
      <w:r>
        <w:rPr>
          <w:rFonts w:ascii="TimesNewRoman;Times New Roman;Times;Baskerville;Georgia;serif" w:hAnsi="TimesNewRoman;Times New Roman;Times;Baskerville;Georgia;serif"/>
          <w:sz w:val="20"/>
        </w:rPr>
        <w:t xml:space="preserve"> </w:t>
      </w:r>
    </w:p>
    <w:p>
      <w:pPr>
        <w:pStyle w:val="TextBody"/>
        <w:bidi w:val="0"/>
        <w:spacing w:before="0" w:after="0"/>
        <w:ind w:left="540" w:right="0" w:hanging="0"/>
        <w:jc w:val="both"/>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sets forth certain financial highlights: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907"/>
        <w:gridCol w:w="90"/>
        <w:gridCol w:w="194"/>
        <w:gridCol w:w="674"/>
        <w:gridCol w:w="290"/>
        <w:gridCol w:w="90"/>
        <w:gridCol w:w="227"/>
        <w:gridCol w:w="787"/>
        <w:gridCol w:w="245"/>
        <w:gridCol w:w="90"/>
        <w:gridCol w:w="194"/>
        <w:gridCol w:w="674"/>
        <w:gridCol w:w="245"/>
        <w:gridCol w:w="90"/>
        <w:gridCol w:w="194"/>
        <w:gridCol w:w="674"/>
        <w:gridCol w:w="290"/>
        <w:gridCol w:w="90"/>
        <w:gridCol w:w="194"/>
        <w:gridCol w:w="674"/>
        <w:gridCol w:w="292"/>
      </w:tblGrid>
      <w:tr>
        <w:trPr/>
        <w:tc>
          <w:tcPr>
            <w:tcW w:w="39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3907" w:type="dxa"/>
            <w:tcBorders/>
            <w:vAlign w:val="center"/>
          </w:tcPr>
          <w:p>
            <w:pPr>
              <w:pStyle w:val="TableContents"/>
              <w:bidi w:val="0"/>
              <w:spacing w:before="0" w:after="283"/>
              <w:jc w:val="left"/>
              <w:rPr/>
            </w:pPr>
            <w:r>
              <w:rPr/>
              <w:t> </w:t>
            </w:r>
          </w:p>
        </w:tc>
        <w:tc>
          <w:tcPr>
            <w:tcW w:w="3800" w:type="dxa"/>
            <w:gridSpan w:val="12"/>
            <w:tcBorders>
              <w:bottom w:val="single" w:sz="12" w:space="0" w:color="000000"/>
            </w:tcBorders>
            <w:tcMar>
              <w:bottom w:w="28" w:type="dxa"/>
            </w:tcMar>
            <w:vAlign w:val="center"/>
          </w:tcPr>
          <w:p>
            <w:pPr>
              <w:pStyle w:val="TableContents"/>
              <w:bidi w:val="0"/>
              <w:spacing w:before="0" w:after="283"/>
              <w:jc w:val="center"/>
              <w:rPr/>
            </w:pPr>
            <w:r>
              <w:rPr>
                <w:b/>
              </w:rPr>
              <w:t>Three Months Ended</w:t>
            </w:r>
            <w:r>
              <w:rPr/>
              <w:t xml:space="preserve"> </w:t>
            </w:r>
          </w:p>
        </w:tc>
        <w:tc>
          <w:tcPr>
            <w:tcW w:w="2498" w:type="dxa"/>
            <w:gridSpan w:val="8"/>
            <w:tcBorders>
              <w:bottom w:val="single" w:sz="12" w:space="0" w:color="000000"/>
            </w:tcBorders>
            <w:tcMar>
              <w:bottom w:w="28" w:type="dxa"/>
            </w:tcMar>
            <w:vAlign w:val="center"/>
          </w:tcPr>
          <w:p>
            <w:pPr>
              <w:pStyle w:val="TableContents"/>
              <w:bidi w:val="0"/>
              <w:spacing w:before="0" w:after="283"/>
              <w:jc w:val="center"/>
              <w:rPr/>
            </w:pPr>
            <w:r>
              <w:rPr>
                <w:b/>
              </w:rPr>
              <w:t>Six Months Ended</w:t>
            </w:r>
            <w:r>
              <w:rPr/>
              <w:t xml:space="preserve"> </w:t>
            </w:r>
          </w:p>
        </w:tc>
      </w:tr>
      <w:tr>
        <w:trPr/>
        <w:tc>
          <w:tcPr>
            <w:tcW w:w="3907"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b/>
              </w:rPr>
              <w:t>June 30,</w:t>
              <w:br/>
              <w:t>2026</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4"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br/>
              <w:t>2026</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b/>
              </w:rPr>
              <w:t>June 30,</w:t>
              <w:br/>
              <w:t>2025</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b/>
              </w:rPr>
              <w:t>June 30,</w:t>
              <w:br/>
              <w:t>2026</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b/>
              </w:rPr>
              <w:t>June 30,</w:t>
              <w:br/>
              <w:t>2025</w:t>
            </w:r>
            <w:r>
              <w:rPr/>
              <w:t xml:space="preserve"> </w:t>
            </w:r>
          </w:p>
        </w:tc>
        <w:tc>
          <w:tcPr>
            <w:tcW w:w="292"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907" w:type="dxa"/>
            <w:tcBorders/>
            <w:vAlign w:val="center"/>
          </w:tcPr>
          <w:p>
            <w:pPr>
              <w:pStyle w:val="TableContents"/>
              <w:bidi w:val="0"/>
              <w:spacing w:before="0" w:after="0"/>
              <w:jc w:val="left"/>
              <w:rPr/>
            </w:pPr>
            <w:r>
              <w:rPr>
                <w:b/>
              </w:rPr>
              <w:t>Performance:</w:t>
            </w:r>
            <w:r>
              <w:rPr/>
              <w:t xml:space="preserve">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3907" w:type="dxa"/>
            <w:tcBorders/>
            <w:shd w:fill="CCEEFF" w:val="clear"/>
            <w:vAlign w:val="center"/>
          </w:tcPr>
          <w:p>
            <w:pPr>
              <w:pStyle w:val="TableContents"/>
              <w:bidi w:val="0"/>
              <w:spacing w:before="0" w:after="0"/>
              <w:jc w:val="left"/>
              <w:rPr/>
            </w:pPr>
            <w:r>
              <w:rPr/>
              <w:t xml:space="preserve">Diluted earnings per share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b/>
              </w:rPr>
            </w:pPr>
            <w:r>
              <w:rPr>
                <w:b/>
              </w:rPr>
              <w:t>$</w:t>
            </w:r>
          </w:p>
        </w:tc>
        <w:tc>
          <w:tcPr>
            <w:tcW w:w="674" w:type="dxa"/>
            <w:tcBorders/>
            <w:shd w:fill="CCEEFF" w:val="clear"/>
            <w:vAlign w:val="center"/>
          </w:tcPr>
          <w:p>
            <w:pPr>
              <w:pStyle w:val="TableContents"/>
              <w:bidi w:val="0"/>
              <w:spacing w:before="0" w:after="283"/>
              <w:jc w:val="right"/>
              <w:rPr>
                <w:b/>
              </w:rPr>
            </w:pPr>
            <w:r>
              <w:rPr>
                <w:b/>
              </w:rPr>
              <w:t>1.02</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0.98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0.44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b/>
              </w:rPr>
            </w:pPr>
            <w:r>
              <w:rPr>
                <w:b/>
              </w:rPr>
              <w:t>$</w:t>
            </w:r>
          </w:p>
        </w:tc>
        <w:tc>
          <w:tcPr>
            <w:tcW w:w="674" w:type="dxa"/>
            <w:tcBorders/>
            <w:shd w:fill="CCEEFF" w:val="clear"/>
            <w:vAlign w:val="center"/>
          </w:tcPr>
          <w:p>
            <w:pPr>
              <w:pStyle w:val="TableContents"/>
              <w:bidi w:val="0"/>
              <w:spacing w:before="0" w:after="283"/>
              <w:jc w:val="right"/>
              <w:rPr>
                <w:b/>
              </w:rPr>
            </w:pPr>
            <w:r>
              <w:rPr>
                <w:b/>
              </w:rPr>
              <w:t>1.99</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1.21</w:t>
            </w:r>
          </w:p>
        </w:tc>
        <w:tc>
          <w:tcPr>
            <w:tcW w:w="292" w:type="dxa"/>
            <w:tcBorders/>
            <w:shd w:fill="CCEEFF" w:val="clear"/>
            <w:vAlign w:val="center"/>
          </w:tcPr>
          <w:p>
            <w:pPr>
              <w:pStyle w:val="TableContents"/>
              <w:bidi w:val="0"/>
              <w:spacing w:before="0" w:after="283"/>
              <w:jc w:val="left"/>
              <w:rPr/>
            </w:pPr>
            <w:r>
              <w:rPr/>
              <w:t> </w:t>
            </w:r>
          </w:p>
        </w:tc>
      </w:tr>
      <w:tr>
        <w:trPr/>
        <w:tc>
          <w:tcPr>
            <w:tcW w:w="3907" w:type="dxa"/>
            <w:tcBorders/>
            <w:vAlign w:val="center"/>
          </w:tcPr>
          <w:p>
            <w:pPr>
              <w:pStyle w:val="TableContents"/>
              <w:bidi w:val="0"/>
              <w:spacing w:before="0" w:after="0"/>
              <w:jc w:val="left"/>
              <w:rPr/>
            </w:pPr>
            <w:r>
              <w:rPr/>
              <w:t>Return on average assets (2)</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1.32</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1.30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0.59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1.31</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0.82</w:t>
            </w:r>
          </w:p>
        </w:tc>
        <w:tc>
          <w:tcPr>
            <w:tcW w:w="292" w:type="dxa"/>
            <w:tcBorders/>
            <w:vAlign w:val="center"/>
          </w:tcPr>
          <w:p>
            <w:pPr>
              <w:pStyle w:val="TableContents"/>
              <w:bidi w:val="0"/>
              <w:spacing w:before="0" w:after="283"/>
              <w:jc w:val="left"/>
              <w:rPr/>
            </w:pPr>
            <w:r>
              <w:rPr/>
              <w:t>%</w:t>
            </w:r>
          </w:p>
        </w:tc>
      </w:tr>
      <w:tr>
        <w:trPr/>
        <w:tc>
          <w:tcPr>
            <w:tcW w:w="3907" w:type="dxa"/>
            <w:tcBorders/>
            <w:shd w:fill="CCEEFF" w:val="clear"/>
            <w:vAlign w:val="center"/>
          </w:tcPr>
          <w:p>
            <w:pPr>
              <w:pStyle w:val="TableContents"/>
              <w:bidi w:val="0"/>
              <w:spacing w:before="0" w:after="0"/>
              <w:jc w:val="left"/>
              <w:rPr/>
            </w:pPr>
            <w:r>
              <w:rPr/>
              <w:t>Return on average equity (2)</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11.04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10.89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5.27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10.96</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7.35</w:t>
            </w:r>
          </w:p>
        </w:tc>
        <w:tc>
          <w:tcPr>
            <w:tcW w:w="292" w:type="dxa"/>
            <w:tcBorders/>
            <w:shd w:fill="CCEEFF" w:val="clear"/>
            <w:vAlign w:val="center"/>
          </w:tcPr>
          <w:p>
            <w:pPr>
              <w:pStyle w:val="TableContents"/>
              <w:bidi w:val="0"/>
              <w:spacing w:before="0" w:after="283"/>
              <w:jc w:val="left"/>
              <w:rPr/>
            </w:pPr>
            <w:r>
              <w:rPr/>
              <w:t>%</w:t>
            </w:r>
          </w:p>
        </w:tc>
      </w:tr>
      <w:tr>
        <w:trPr/>
        <w:tc>
          <w:tcPr>
            <w:tcW w:w="3907" w:type="dxa"/>
            <w:tcBorders/>
            <w:vAlign w:val="center"/>
          </w:tcPr>
          <w:p>
            <w:pPr>
              <w:pStyle w:val="TableContents"/>
              <w:bidi w:val="0"/>
              <w:spacing w:before="0" w:after="0"/>
              <w:jc w:val="left"/>
              <w:rPr/>
            </w:pPr>
            <w:r>
              <w:rPr/>
              <w:t>Return on average tangible common equity (1)(2)</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15.65</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15.59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8.01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15.62</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10.69</w:t>
            </w:r>
          </w:p>
        </w:tc>
        <w:tc>
          <w:tcPr>
            <w:tcW w:w="292" w:type="dxa"/>
            <w:tcBorders/>
            <w:vAlign w:val="center"/>
          </w:tcPr>
          <w:p>
            <w:pPr>
              <w:pStyle w:val="TableContents"/>
              <w:bidi w:val="0"/>
              <w:spacing w:before="0" w:after="283"/>
              <w:jc w:val="left"/>
              <w:rPr/>
            </w:pPr>
            <w:r>
              <w:rPr/>
              <w:t>%</w:t>
            </w:r>
          </w:p>
        </w:tc>
      </w:tr>
      <w:tr>
        <w:trPr/>
        <w:tc>
          <w:tcPr>
            <w:tcW w:w="3907" w:type="dxa"/>
            <w:tcBorders>
              <w:bottom w:val="single" w:sz="12" w:space="0" w:color="000000"/>
            </w:tcBorders>
            <w:shd w:fill="CCEEFF" w:val="clear"/>
            <w:tcMar>
              <w:bottom w:w="28" w:type="dxa"/>
            </w:tcMar>
            <w:vAlign w:val="center"/>
          </w:tcPr>
          <w:p>
            <w:pPr>
              <w:pStyle w:val="TableContents"/>
              <w:bidi w:val="0"/>
              <w:spacing w:before="0" w:after="0"/>
              <w:jc w:val="left"/>
              <w:rPr/>
            </w:pPr>
            <w:r>
              <w:rPr/>
              <w:t>Net interest margin, (FTE) (1)(2)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pPr>
            <w:r>
              <w:rPr/>
              <w:t>3.72</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3.59</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3.52</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3907" w:type="dxa"/>
            <w:tcBorders/>
            <w:vAlign w:val="center"/>
          </w:tcPr>
          <w:p>
            <w:pPr>
              <w:pStyle w:val="TableContents"/>
              <w:bidi w:val="0"/>
              <w:spacing w:before="0" w:after="0"/>
              <w:jc w:val="left"/>
              <w:rPr/>
            </w:pPr>
            <w:r>
              <w:rPr>
                <w:b/>
              </w:rPr>
              <w:t>Capital:</w:t>
            </w:r>
            <w:r>
              <w:rPr/>
              <w:t xml:space="preserve">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3907" w:type="dxa"/>
            <w:tcBorders/>
            <w:shd w:fill="CCEEFF" w:val="clear"/>
            <w:vAlign w:val="center"/>
          </w:tcPr>
          <w:p>
            <w:pPr>
              <w:pStyle w:val="TableContents"/>
              <w:bidi w:val="0"/>
              <w:spacing w:before="0" w:after="0"/>
              <w:jc w:val="left"/>
              <w:rPr/>
            </w:pPr>
            <w:r>
              <w:rPr/>
              <w:t xml:space="preserve">Equity to assets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11.99</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11.81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11.27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11.99</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11.27</w:t>
            </w:r>
          </w:p>
        </w:tc>
        <w:tc>
          <w:tcPr>
            <w:tcW w:w="292" w:type="dxa"/>
            <w:tcBorders/>
            <w:shd w:fill="CCEEFF" w:val="clear"/>
            <w:vAlign w:val="center"/>
          </w:tcPr>
          <w:p>
            <w:pPr>
              <w:pStyle w:val="TableContents"/>
              <w:bidi w:val="0"/>
              <w:spacing w:before="0" w:after="283"/>
              <w:jc w:val="left"/>
              <w:rPr/>
            </w:pPr>
            <w:r>
              <w:rPr/>
              <w:t>%</w:t>
            </w:r>
          </w:p>
        </w:tc>
      </w:tr>
      <w:tr>
        <w:trPr/>
        <w:tc>
          <w:tcPr>
            <w:tcW w:w="3907" w:type="dxa"/>
            <w:tcBorders/>
            <w:vAlign w:val="center"/>
          </w:tcPr>
          <w:p>
            <w:pPr>
              <w:pStyle w:val="TableContents"/>
              <w:bidi w:val="0"/>
              <w:spacing w:before="0" w:after="0"/>
              <w:jc w:val="left"/>
              <w:rPr/>
            </w:pPr>
            <w:r>
              <w:rPr/>
              <w:t>Tangible equity ratio (1)</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9.16</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8.96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8.30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9.16</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8.30</w:t>
            </w:r>
          </w:p>
        </w:tc>
        <w:tc>
          <w:tcPr>
            <w:tcW w:w="292" w:type="dxa"/>
            <w:tcBorders/>
            <w:vAlign w:val="center"/>
          </w:tcPr>
          <w:p>
            <w:pPr>
              <w:pStyle w:val="TableContents"/>
              <w:bidi w:val="0"/>
              <w:spacing w:before="0" w:after="283"/>
              <w:jc w:val="left"/>
              <w:rPr/>
            </w:pPr>
            <w:r>
              <w:rPr/>
              <w:t>%</w:t>
            </w:r>
          </w:p>
        </w:tc>
      </w:tr>
      <w:tr>
        <w:trPr/>
        <w:tc>
          <w:tcPr>
            <w:tcW w:w="3907" w:type="dxa"/>
            <w:tcBorders/>
            <w:shd w:fill="CCEEFF" w:val="clear"/>
            <w:vAlign w:val="center"/>
          </w:tcPr>
          <w:p>
            <w:pPr>
              <w:pStyle w:val="TableContents"/>
              <w:bidi w:val="0"/>
              <w:spacing w:before="0" w:after="0"/>
              <w:jc w:val="left"/>
              <w:rPr/>
            </w:pPr>
            <w:r>
              <w:rPr/>
              <w:t xml:space="preserve">Book value per share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b/>
              </w:rPr>
            </w:pPr>
            <w:r>
              <w:rPr>
                <w:b/>
              </w:rPr>
              <w:t>$</w:t>
            </w:r>
          </w:p>
        </w:tc>
        <w:tc>
          <w:tcPr>
            <w:tcW w:w="674" w:type="dxa"/>
            <w:tcBorders/>
            <w:shd w:fill="CCEEFF" w:val="clear"/>
            <w:vAlign w:val="center"/>
          </w:tcPr>
          <w:p>
            <w:pPr>
              <w:pStyle w:val="TableContents"/>
              <w:bidi w:val="0"/>
              <w:spacing w:before="0" w:after="283"/>
              <w:jc w:val="right"/>
              <w:rPr>
                <w:b/>
              </w:rPr>
            </w:pPr>
            <w:r>
              <w:rPr>
                <w:b/>
              </w:rPr>
              <w:t>37.42</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36.81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34.46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b/>
              </w:rPr>
            </w:pPr>
            <w:r>
              <w:rPr>
                <w:b/>
              </w:rPr>
              <w:t>$</w:t>
            </w:r>
          </w:p>
        </w:tc>
        <w:tc>
          <w:tcPr>
            <w:tcW w:w="674" w:type="dxa"/>
            <w:tcBorders/>
            <w:shd w:fill="CCEEFF" w:val="clear"/>
            <w:vAlign w:val="center"/>
          </w:tcPr>
          <w:p>
            <w:pPr>
              <w:pStyle w:val="TableContents"/>
              <w:bidi w:val="0"/>
              <w:spacing w:before="0" w:after="283"/>
              <w:jc w:val="right"/>
              <w:rPr>
                <w:b/>
              </w:rPr>
            </w:pPr>
            <w:r>
              <w:rPr>
                <w:b/>
              </w:rPr>
              <w:t>37.42</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34.46</w:t>
            </w:r>
          </w:p>
        </w:tc>
        <w:tc>
          <w:tcPr>
            <w:tcW w:w="292" w:type="dxa"/>
            <w:tcBorders/>
            <w:shd w:fill="CCEEFF" w:val="clear"/>
            <w:vAlign w:val="center"/>
          </w:tcPr>
          <w:p>
            <w:pPr>
              <w:pStyle w:val="TableContents"/>
              <w:bidi w:val="0"/>
              <w:spacing w:before="0" w:after="283"/>
              <w:jc w:val="left"/>
              <w:rPr/>
            </w:pPr>
            <w:r>
              <w:rPr/>
              <w:t> </w:t>
            </w:r>
          </w:p>
        </w:tc>
      </w:tr>
      <w:tr>
        <w:trPr/>
        <w:tc>
          <w:tcPr>
            <w:tcW w:w="3907" w:type="dxa"/>
            <w:tcBorders/>
            <w:vAlign w:val="center"/>
          </w:tcPr>
          <w:p>
            <w:pPr>
              <w:pStyle w:val="TableContents"/>
              <w:bidi w:val="0"/>
              <w:spacing w:before="0" w:after="0"/>
              <w:jc w:val="left"/>
              <w:rPr/>
            </w:pPr>
            <w:r>
              <w:rPr/>
              <w:t>Tangible book value per share (1)</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b/>
              </w:rPr>
            </w:pPr>
            <w:r>
              <w:rPr>
                <w:b/>
              </w:rPr>
              <w:t>$</w:t>
            </w:r>
          </w:p>
        </w:tc>
        <w:tc>
          <w:tcPr>
            <w:tcW w:w="674" w:type="dxa"/>
            <w:tcBorders/>
            <w:vAlign w:val="center"/>
          </w:tcPr>
          <w:p>
            <w:pPr>
              <w:pStyle w:val="TableContents"/>
              <w:bidi w:val="0"/>
              <w:spacing w:before="0" w:after="283"/>
              <w:jc w:val="right"/>
              <w:rPr>
                <w:b/>
              </w:rPr>
            </w:pPr>
            <w:r>
              <w:rPr>
                <w:b/>
              </w:rPr>
              <w:t>27.71</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787" w:type="dxa"/>
            <w:tcBorders/>
            <w:vAlign w:val="center"/>
          </w:tcPr>
          <w:p>
            <w:pPr>
              <w:pStyle w:val="TableContents"/>
              <w:bidi w:val="0"/>
              <w:spacing w:before="0" w:after="283"/>
              <w:jc w:val="right"/>
              <w:rPr/>
            </w:pPr>
            <w:r>
              <w:rPr/>
              <w:t>27.05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24.57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b/>
              </w:rPr>
            </w:pPr>
            <w:r>
              <w:rPr>
                <w:b/>
              </w:rPr>
              <w:t>$</w:t>
            </w:r>
          </w:p>
        </w:tc>
        <w:tc>
          <w:tcPr>
            <w:tcW w:w="674" w:type="dxa"/>
            <w:tcBorders/>
            <w:vAlign w:val="center"/>
          </w:tcPr>
          <w:p>
            <w:pPr>
              <w:pStyle w:val="TableContents"/>
              <w:bidi w:val="0"/>
              <w:spacing w:before="0" w:after="283"/>
              <w:jc w:val="right"/>
              <w:rPr>
                <w:b/>
              </w:rPr>
            </w:pPr>
            <w:r>
              <w:rPr>
                <w:b/>
              </w:rPr>
              <w:t>27.71</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24.57</w:t>
            </w:r>
          </w:p>
        </w:tc>
        <w:tc>
          <w:tcPr>
            <w:tcW w:w="292" w:type="dxa"/>
            <w:tcBorders/>
            <w:vAlign w:val="center"/>
          </w:tcPr>
          <w:p>
            <w:pPr>
              <w:pStyle w:val="TableContents"/>
              <w:bidi w:val="0"/>
              <w:spacing w:before="0" w:after="283"/>
              <w:jc w:val="left"/>
              <w:rPr/>
            </w:pPr>
            <w:r>
              <w:rPr/>
              <w:t> </w:t>
            </w:r>
          </w:p>
        </w:tc>
      </w:tr>
      <w:tr>
        <w:trPr/>
        <w:tc>
          <w:tcPr>
            <w:tcW w:w="3907" w:type="dxa"/>
            <w:tcBorders/>
            <w:shd w:fill="CCEEFF" w:val="clear"/>
            <w:vAlign w:val="center"/>
          </w:tcPr>
          <w:p>
            <w:pPr>
              <w:pStyle w:val="TableContents"/>
              <w:bidi w:val="0"/>
              <w:spacing w:before="0" w:after="0"/>
              <w:jc w:val="left"/>
              <w:rPr/>
            </w:pPr>
            <w:r>
              <w:rPr/>
              <w:t xml:space="preserve">Leverage ratio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9.85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9.70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9.55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9.85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9.55</w:t>
            </w:r>
          </w:p>
        </w:tc>
        <w:tc>
          <w:tcPr>
            <w:tcW w:w="292" w:type="dxa"/>
            <w:tcBorders/>
            <w:shd w:fill="CCEEFF" w:val="clear"/>
            <w:vAlign w:val="center"/>
          </w:tcPr>
          <w:p>
            <w:pPr>
              <w:pStyle w:val="TableContents"/>
              <w:bidi w:val="0"/>
              <w:spacing w:before="0" w:after="283"/>
              <w:jc w:val="left"/>
              <w:rPr/>
            </w:pPr>
            <w:r>
              <w:rPr/>
              <w:t>%</w:t>
            </w:r>
          </w:p>
        </w:tc>
      </w:tr>
      <w:tr>
        <w:trPr/>
        <w:tc>
          <w:tcPr>
            <w:tcW w:w="3907" w:type="dxa"/>
            <w:tcBorders/>
            <w:vAlign w:val="center"/>
          </w:tcPr>
          <w:p>
            <w:pPr>
              <w:pStyle w:val="TableContents"/>
              <w:bidi w:val="0"/>
              <w:spacing w:before="0" w:after="0"/>
              <w:jc w:val="left"/>
              <w:rPr/>
            </w:pPr>
            <w:r>
              <w:rPr/>
              <w:t xml:space="preserve">Common equity tier 1 capital ratio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12.24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12.34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11.37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b/>
              </w:rPr>
            </w:pPr>
            <w:r>
              <w:rPr>
                <w:b/>
              </w:rPr>
              <w:t>12.24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11.37</w:t>
            </w:r>
          </w:p>
        </w:tc>
        <w:tc>
          <w:tcPr>
            <w:tcW w:w="292" w:type="dxa"/>
            <w:tcBorders/>
            <w:vAlign w:val="center"/>
          </w:tcPr>
          <w:p>
            <w:pPr>
              <w:pStyle w:val="TableContents"/>
              <w:bidi w:val="0"/>
              <w:spacing w:before="0" w:after="283"/>
              <w:jc w:val="left"/>
              <w:rPr/>
            </w:pPr>
            <w:r>
              <w:rPr/>
              <w:t>%</w:t>
            </w:r>
          </w:p>
        </w:tc>
      </w:tr>
      <w:tr>
        <w:trPr/>
        <w:tc>
          <w:tcPr>
            <w:tcW w:w="3907" w:type="dxa"/>
            <w:tcBorders/>
            <w:shd w:fill="CCEEFF" w:val="clear"/>
            <w:vAlign w:val="center"/>
          </w:tcPr>
          <w:p>
            <w:pPr>
              <w:pStyle w:val="TableContents"/>
              <w:bidi w:val="0"/>
              <w:spacing w:before="0" w:after="0"/>
              <w:jc w:val="left"/>
              <w:rPr/>
            </w:pPr>
            <w:r>
              <w:rPr/>
              <w:t xml:space="preserve">Tier 1 capital ratio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12.24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12.34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11.37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b/>
              </w:rPr>
            </w:pPr>
            <w:r>
              <w:rPr>
                <w:b/>
              </w:rPr>
              <w:t>12.24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11.37</w:t>
            </w:r>
          </w:p>
        </w:tc>
        <w:tc>
          <w:tcPr>
            <w:tcW w:w="292" w:type="dxa"/>
            <w:tcBorders/>
            <w:shd w:fill="CCEEFF" w:val="clear"/>
            <w:vAlign w:val="center"/>
          </w:tcPr>
          <w:p>
            <w:pPr>
              <w:pStyle w:val="TableContents"/>
              <w:bidi w:val="0"/>
              <w:spacing w:before="0" w:after="283"/>
              <w:jc w:val="left"/>
              <w:rPr/>
            </w:pPr>
            <w:r>
              <w:rPr/>
              <w:t>%</w:t>
            </w:r>
          </w:p>
        </w:tc>
      </w:tr>
      <w:tr>
        <w:trPr/>
        <w:tc>
          <w:tcPr>
            <w:tcW w:w="3907" w:type="dxa"/>
            <w:tcBorders>
              <w:bottom w:val="single" w:sz="12" w:space="0" w:color="000000"/>
            </w:tcBorders>
            <w:tcMar>
              <w:bottom w:w="28" w:type="dxa"/>
            </w:tcMar>
            <w:vAlign w:val="center"/>
          </w:tcPr>
          <w:p>
            <w:pPr>
              <w:pStyle w:val="TableContents"/>
              <w:bidi w:val="0"/>
              <w:spacing w:before="0" w:after="0"/>
              <w:jc w:val="left"/>
              <w:rPr/>
            </w:pPr>
            <w:r>
              <w:rPr/>
              <w:t xml:space="preserve">Total risk-based capital ratio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283"/>
              <w:jc w:val="right"/>
              <w:rPr>
                <w:b/>
              </w:rPr>
            </w:pPr>
            <w:r>
              <w:rPr>
                <w:b/>
              </w:rPr>
              <w:t>14.18</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pPr>
            <w:r>
              <w:rPr/>
              <w:t>14.52</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283"/>
              <w:jc w:val="right"/>
              <w:rPr/>
            </w:pPr>
            <w:r>
              <w:rPr/>
              <w:t>14.48</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283"/>
              <w:jc w:val="right"/>
              <w:rPr>
                <w:b/>
              </w:rPr>
            </w:pPr>
            <w:r>
              <w:rPr>
                <w:b/>
              </w:rPr>
              <w:t>14.18</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283"/>
              <w:jc w:val="right"/>
              <w:rPr/>
            </w:pPr>
            <w:r>
              <w:rPr/>
              <w:t>14.48</w:t>
            </w:r>
          </w:p>
        </w:tc>
        <w:tc>
          <w:tcPr>
            <w:tcW w:w="292" w:type="dxa"/>
            <w:tcBorders>
              <w:bottom w:val="single" w:sz="1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both"/>
        <w:rPr/>
      </w:pPr>
      <w:r>
        <w:rPr/>
        <w:t xml:space="preserve">  </w: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Non-GAAP measure - Refer to non-GAAP reconciliation below.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0" w:right="0" w:hanging="36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Annualized.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18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provides non-GAAP reconciliations: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895"/>
        <w:gridCol w:w="90"/>
        <w:gridCol w:w="170"/>
        <w:gridCol w:w="1130"/>
        <w:gridCol w:w="290"/>
        <w:gridCol w:w="90"/>
        <w:gridCol w:w="170"/>
        <w:gridCol w:w="1130"/>
        <w:gridCol w:w="245"/>
        <w:gridCol w:w="90"/>
        <w:gridCol w:w="170"/>
        <w:gridCol w:w="1130"/>
        <w:gridCol w:w="245"/>
        <w:gridCol w:w="90"/>
        <w:gridCol w:w="170"/>
        <w:gridCol w:w="1130"/>
        <w:gridCol w:w="290"/>
        <w:gridCol w:w="90"/>
        <w:gridCol w:w="170"/>
        <w:gridCol w:w="1130"/>
        <w:gridCol w:w="290"/>
      </w:tblGrid>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4615"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r>
          </w:p>
        </w:tc>
        <w:tc>
          <w:tcPr>
            <w:tcW w:w="2980"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 Ended</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 except per share data)</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2026</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br/>
              <w:t>2026</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2025</w:t>
            </w:r>
            <w:r>
              <w:rPr/>
              <w:t xml:space="preserve"> </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2026</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2025</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895" w:type="dxa"/>
            <w:tcBorders/>
            <w:vAlign w:val="center"/>
          </w:tcPr>
          <w:p>
            <w:pPr>
              <w:pStyle w:val="TableContents"/>
              <w:bidi w:val="0"/>
              <w:spacing w:before="0" w:after="0"/>
              <w:ind w:left="0" w:right="0" w:hanging="144"/>
              <w:jc w:val="left"/>
              <w:rPr/>
            </w:pPr>
            <w:r>
              <w:rPr>
                <w:b/>
              </w:rPr>
              <w:t>Return on average tangible common equity:</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144"/>
              <w:jc w:val="left"/>
              <w:rPr/>
            </w:pPr>
            <w:r>
              <w:rPr/>
              <w:t xml:space="preserve">Net income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53,030</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51,142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22,510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104,172</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59,255</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Amortization of intangible assets (net of tax)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2,393</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2,511</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2,282</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4,904</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3,865</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Net income, excluding intangible amortization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55,423</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53,653</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24,792</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109,076</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63,120</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144"/>
              <w:jc w:val="left"/>
              <w:rPr/>
            </w:pPr>
            <w:r>
              <w:rPr/>
              <w:t xml:space="preserve">Average stockholders’ equity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1,927,088</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1,905,022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1,712,508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1,916,116</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1,626,132</w:t>
            </w:r>
          </w:p>
        </w:tc>
        <w:tc>
          <w:tcPr>
            <w:tcW w:w="290" w:type="dxa"/>
            <w:tcBorders/>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Less: average goodwill and other intangibles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506,308</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509,643</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471,159</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507,966</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434,897</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Average tangible common equity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1,420,780</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1,395,379</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1,241,349</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1,408,150</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1,191,235</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Return on average tangible common equity</w:t>
            </w:r>
            <w:r>
              <w:rPr>
                <w:position w:val="8"/>
                <w:sz w:val="19"/>
              </w:rPr>
              <w:t xml:space="preserve">(2)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15.65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15.59</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8.01</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15.62</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10.69</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1895" w:type="dxa"/>
            <w:tcBorders/>
            <w:vAlign w:val="center"/>
          </w:tcPr>
          <w:p>
            <w:pPr>
              <w:pStyle w:val="TableContents"/>
              <w:bidi w:val="0"/>
              <w:spacing w:before="0" w:after="0"/>
              <w:ind w:left="0" w:right="0" w:hanging="144"/>
              <w:jc w:val="left"/>
              <w:rPr/>
            </w:pPr>
            <w:r>
              <w:rPr>
                <w:b/>
              </w:rPr>
              <w:t>Tangible equity ratio:</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144"/>
              <w:jc w:val="left"/>
              <w:rPr/>
            </w:pPr>
            <w:r>
              <w:rPr/>
              <w:t xml:space="preserve">Stockholders’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1,943,919</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1,914,397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1,805,166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1,943,919</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1,805,166</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144"/>
              <w:jc w:val="left"/>
              <w:rPr/>
            </w:pPr>
            <w:r>
              <w:rPr/>
              <w:t xml:space="preserve">Intangibles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504,395</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507,586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518,519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504,395</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518,519</w:t>
            </w:r>
          </w:p>
        </w:tc>
        <w:tc>
          <w:tcPr>
            <w:tcW w:w="290" w:type="dxa"/>
            <w:tcBorders/>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Assets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16,214,957</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16,204,406</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16,014,781</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16,214,957</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16,014,781</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Tangible equity ratio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9.16</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8.96</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8.30</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9.16</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8.30</w:t>
            </w:r>
          </w:p>
        </w:tc>
        <w:tc>
          <w:tcPr>
            <w:tcW w:w="290"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0"/>
              <w:ind w:left="0" w:right="0" w:hanging="144"/>
              <w:jc w:val="left"/>
              <w:rPr/>
            </w:pPr>
            <w:r>
              <w:rPr>
                <w:b/>
              </w:rPr>
              <w:t>Tangible book value per share:</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144"/>
              <w:jc w:val="left"/>
              <w:rPr/>
            </w:pPr>
            <w:r>
              <w:rPr/>
              <w:t xml:space="preserve">Stockholders’ equity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1,943,919</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1,914,397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1,805,166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1,943,919</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1,805,166</w:t>
            </w:r>
          </w:p>
        </w:tc>
        <w:tc>
          <w:tcPr>
            <w:tcW w:w="290" w:type="dxa"/>
            <w:tcBorders/>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Intangibles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504,395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507,586</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518,519</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504,395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518,519</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Tangible equity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1,439,524</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1,406,811</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1,286,647</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1,439,524</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1,286,647</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Diluted common shares outstanding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51,955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52,010</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52,377</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51,955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52,377</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Tangible book value per share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27.71</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27.05</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24.57</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27.71</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24.57</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b/>
              </w:rPr>
              <w:t>Operating net income:</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Net income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53,030</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51,142</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22,510</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104,172</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59,255</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144"/>
              <w:jc w:val="left"/>
              <w:rPr/>
            </w:pPr>
            <w:r>
              <w:rPr/>
              <w:t xml:space="preserve">Acquisition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 xml:space="preserve">-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17,180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 xml:space="preserve">-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18,401</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144"/>
              <w:jc w:val="left"/>
              <w:rPr/>
            </w:pPr>
            <w:r>
              <w:rPr/>
              <w:t xml:space="preserve">Acquisition-related provision for credit losses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 xml:space="preserve">-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13,022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 xml:space="preserve">-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13,022</w:t>
            </w:r>
          </w:p>
        </w:tc>
        <w:tc>
          <w:tcPr>
            <w:tcW w:w="29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144"/>
              <w:jc w:val="left"/>
              <w:rPr/>
            </w:pPr>
            <w:r>
              <w:rPr/>
              <w:t xml:space="preserve">Acquisition-related reserve for unfunded loan commitments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 xml:space="preserve">-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 xml:space="preserve">-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532</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Securities (gains)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(175</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(442</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(112</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(617</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Adjustments to net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(442</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30,622</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(617</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31,947</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Adjustments to net income (net of tax)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(134</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(338</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22,413</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(472</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24,120</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Operating net income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52,896</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50,804</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44,923</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103,700</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83,375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Operating diluted earnings per share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1.01</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0.97</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0.88</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1.98</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1.70</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144"/>
              <w:jc w:val="left"/>
              <w:rPr/>
            </w:pPr>
            <w:r>
              <w:rPr>
                <w:b/>
              </w:rPr>
              <w:t>FTE adjustment:</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144"/>
              <w:jc w:val="left"/>
              <w:rPr/>
            </w:pPr>
            <w:r>
              <w:rPr/>
              <w:t xml:space="preserve">Net interest income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136,963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134,348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124,220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271,311</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231,443</w:t>
            </w:r>
          </w:p>
        </w:tc>
        <w:tc>
          <w:tcPr>
            <w:tcW w:w="290" w:type="dxa"/>
            <w:tcBorders/>
            <w:vAlign w:val="center"/>
          </w:tcPr>
          <w:p>
            <w:pPr>
              <w:pStyle w:val="TableContents"/>
              <w:bidi w:val="0"/>
              <w:spacing w:before="0" w:after="283"/>
              <w:jc w:val="left"/>
              <w:rPr/>
            </w:pPr>
            <w:r>
              <w:rPr/>
              <w:t> </w:t>
            </w:r>
          </w:p>
        </w:tc>
      </w:tr>
      <w:tr>
        <w:trPr/>
        <w:tc>
          <w:tcPr>
            <w:tcW w:w="1895"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FTE adjustment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614</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655</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1,192</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1,291</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144"/>
              <w:jc w:val="left"/>
              <w:rPr/>
            </w:pPr>
            <w:r>
              <w:rPr/>
              <w:t xml:space="preserve">Net interest income (FTE)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137,577</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134,926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124,875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272,503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232,734</w:t>
            </w:r>
          </w:p>
        </w:tc>
        <w:tc>
          <w:tcPr>
            <w:tcW w:w="29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144"/>
              <w:jc w:val="left"/>
              <w:rPr/>
            </w:pPr>
            <w:r>
              <w:rPr/>
              <w:t xml:space="preserve">Average earnings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14,804,621</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14,694,823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13,958,413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14,750,025</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13,333,248</w:t>
            </w:r>
          </w:p>
        </w:tc>
        <w:tc>
          <w:tcPr>
            <w:tcW w:w="290" w:type="dxa"/>
            <w:tcBorders/>
            <w:shd w:fill="CCEEFF" w:val="clear"/>
            <w:vAlign w:val="center"/>
          </w:tcPr>
          <w:p>
            <w:pPr>
              <w:pStyle w:val="TableContents"/>
              <w:bidi w:val="0"/>
              <w:spacing w:before="0" w:after="283"/>
              <w:jc w:val="left"/>
              <w:rPr/>
            </w:pPr>
            <w:r>
              <w:rPr/>
              <w:t> </w:t>
            </w:r>
          </w:p>
        </w:tc>
      </w:tr>
      <w:tr>
        <w:trPr/>
        <w:tc>
          <w:tcPr>
            <w:tcW w:w="1895" w:type="dxa"/>
            <w:tcBorders>
              <w:bottom w:val="single" w:sz="12" w:space="0" w:color="000000"/>
            </w:tcBorders>
            <w:tcMar>
              <w:bottom w:w="28" w:type="dxa"/>
            </w:tcMar>
            <w:vAlign w:val="center"/>
          </w:tcPr>
          <w:p>
            <w:pPr>
              <w:pStyle w:val="TableContents"/>
              <w:bidi w:val="0"/>
              <w:spacing w:before="0" w:after="0"/>
              <w:ind w:left="0" w:right="0" w:hanging="144"/>
              <w:jc w:val="left"/>
              <w:rPr/>
            </w:pPr>
            <w:r>
              <w:rPr/>
              <w:t>Net interest margin (FTE)</w:t>
            </w:r>
            <w:r>
              <w:rPr>
                <w:position w:val="8"/>
                <w:sz w:val="19"/>
              </w:rPr>
              <w:t xml:space="preserve">(2)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3.73</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3.72</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3.59</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3.73</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3.52</w:t>
            </w:r>
          </w:p>
        </w:tc>
        <w:tc>
          <w:tcPr>
            <w:tcW w:w="290" w:type="dxa"/>
            <w:tcBorders>
              <w:bottom w:val="single" w:sz="1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Annualized.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Net Interest Income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interest income is the difference between the interest and dividend income earned on interest-earning assets, primarily loans and securities and the interest expense paid on interest-bearing liabilities, primarily deposits and borrowings. Net interest income is affected by the interest rate spread, the difference between the yield on interest-earning assets and the cost of interest-bearing liabilities, as well as the volumes of such assets and liabilities. Net interest income is one of the key determining factors in a financial institution’s performance as it is the principal source of earnings.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interest income was $137.0 million for the second quarter of 2026, up $2.6 million, or 1.9%, from the previous quarter. The FTE NIM was 3.73% for the three months ended June 30, 2026, an increase of 1 bp from the previous quarter. Interest income increased $3.1 million, or 1.7%, as average interest-earning assets of $14.80 billion increased $109.8 million from the prior quarter, while the yield on average interest-earning assets decreased 1 bp from the prior quarter to 5.05%. The increase in interest income was primarily due to one additional day in the second quarter of 2026 and organic growth in interest-earning assets. Interest expense increased $0.5 million, or 1.0%, as the cost of interest-bearing liabilities decreased 1 bp to 1.94% for the three months ended June 30, 2026 as compared to the prior quarter, primarily due to a 3 bps decrease in interest-bearing deposit costs. Included in net interest income was $5.7 million of acquisition-related net accretion for the three months ended June 30, 2026, compared to $6.7 million of acquisition-related net accretion for the three months ended March 31, 2026.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interest income was $137.0 million for the second quarter of 2026, up $12.7 million, or 10.3%, from the second quarter of 2025. The FTE NIM was 3.73% for the three months ended June 30, 2026, an increase of 14 bps from the second quarter of 2025. Interest income increased $8.2 million, or 4.6%, as average interest-earning assets increased $846.2 million, or 6.1%, from the second quarter of 2025, primarily due to the addition of $1.95 billion in interest-earning assets in May 2025 from the Evans acquisition and organic earning asset growth. The yield on average interest-earning assets decreased 7 bps from the same period in 2025 to 5.05%, primarily due to the Federal Reserve interest rates cuts in 2025. Interest expense decreased $4.6 million, or 8.5%, primarily due to the decrease in the cost of interest-bearing liabilities and the redemption of $118 million of subordinated debt in the third quarter of 2025. Included in net interest income was $5.7 million of acquisition-related net accretion for the three months ended June 30, 2026, compared to $5.0 million of acquisition-related net accretion for the three months ended June 30,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Net interest income for the six months ended June 30, 2026 was $271.3 million, up $39.9 million, or 17.2%, from the same period in 2025. The FTE NIM was 3.73% for the six months ended June 30, 2026, an increase of 21 bps from the same period in 2025. Interest income increased $36.4 million, or 11.0%, as the yield on average interest-earning assets increased 1 bp from the same period in 2025 to 5.05%. Average interest-earning assets of $14.75 billion increased $1.42 billion primarily due to the addition of $1.95 billion in interest-earning assets in May 2025 from the Evans acquisition and organic earning asset growth. Interest expense decreased $3.4 million, or 3.4%, for the six months ended June 30, 2026 as compared to the same period in 2025 driven by interest-bearing deposit costs decreasing 25 bps and lower average balances of subordinated debt. The decrease in interest expense was partially offset by the addition of $1.62 billion in interest-bearing liabilities in May 2025 from the Evans acquisition and organic growth. Included in net interest income was $12.4 million of acquisition-related net accretion for the six months ended June 30, 2026, compared to $7.2 million of acquisition-related net accretion for the six months ended June 30, 2025.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Average Balances and Net Interest Income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include the condensed consolidated average balance sheet, an analysis of interest income/expense and average yield/rate for each major category of earning assets and interest-bearing liabilities on a taxable equivalent basis.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749"/>
        <w:gridCol w:w="90"/>
        <w:gridCol w:w="170"/>
        <w:gridCol w:w="1130"/>
        <w:gridCol w:w="90"/>
        <w:gridCol w:w="90"/>
        <w:gridCol w:w="170"/>
        <w:gridCol w:w="830"/>
        <w:gridCol w:w="90"/>
        <w:gridCol w:w="90"/>
        <w:gridCol w:w="91"/>
        <w:gridCol w:w="603"/>
        <w:gridCol w:w="290"/>
        <w:gridCol w:w="90"/>
        <w:gridCol w:w="170"/>
        <w:gridCol w:w="1130"/>
        <w:gridCol w:w="90"/>
        <w:gridCol w:w="90"/>
        <w:gridCol w:w="170"/>
        <w:gridCol w:w="830"/>
        <w:gridCol w:w="90"/>
        <w:gridCol w:w="90"/>
        <w:gridCol w:w="108"/>
        <w:gridCol w:w="571"/>
        <w:gridCol w:w="293"/>
      </w:tblGrid>
      <w:tr>
        <w:trPr/>
        <w:tc>
          <w:tcPr>
            <w:tcW w:w="27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r>
      <w:tr>
        <w:trPr/>
        <w:tc>
          <w:tcPr>
            <w:tcW w:w="2749"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Three Months Ended</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r>
          </w:p>
        </w:tc>
        <w:tc>
          <w:tcPr>
            <w:tcW w:w="3354" w:type="dxa"/>
            <w:gridSpan w:val="10"/>
            <w:tcBorders>
              <w:bottom w:val="single" w:sz="12" w:space="0" w:color="000000"/>
            </w:tcBorders>
            <w:tcMar>
              <w:bottom w:w="28" w:type="dxa"/>
            </w:tcMar>
            <w:vAlign w:val="center"/>
          </w:tcPr>
          <w:p>
            <w:pPr>
              <w:pStyle w:val="TableContents"/>
              <w:bidi w:val="0"/>
              <w:spacing w:before="0" w:after="283"/>
              <w:jc w:val="center"/>
              <w:rPr>
                <w:b/>
              </w:rPr>
            </w:pPr>
            <w:r>
              <w:rPr>
                <w:b/>
                <w:spacing w:val="0"/>
              </w:rPr>
              <w:t>June 30, 2026</w:t>
            </w:r>
            <w:r>
              <w:rPr>
                <w:b/>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r>
          </w:p>
        </w:tc>
        <w:tc>
          <w:tcPr>
            <w:tcW w:w="3339"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June 30, 2025</w:t>
            </w:r>
            <w:r>
              <w:rPr/>
              <w:t xml:space="preserve"> </w:t>
            </w:r>
          </w:p>
        </w:tc>
        <w:tc>
          <w:tcPr>
            <w:tcW w:w="293"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749"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(Dollars 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Average</w:t>
              <w:br/>
              <w:t xml:space="preserve">Balance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Interest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Yield/ </w:t>
              <w:br/>
              <w:t xml:space="preserve">Rates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Average</w:t>
              <w:br/>
              <w:t>Balance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Interest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Yield/ </w:t>
              <w:br/>
              <w:t>Rates</w:t>
            </w:r>
            <w:r>
              <w:rPr/>
              <w:t xml:space="preserve"> </w:t>
            </w:r>
          </w:p>
        </w:tc>
        <w:tc>
          <w:tcPr>
            <w:tcW w:w="293"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749" w:type="dxa"/>
            <w:tcBorders/>
            <w:vAlign w:val="center"/>
          </w:tcPr>
          <w:p>
            <w:pPr>
              <w:pStyle w:val="TableContents"/>
              <w:bidi w:val="0"/>
              <w:spacing w:before="0" w:after="0"/>
              <w:ind w:left="0" w:right="0" w:hanging="144"/>
              <w:jc w:val="left"/>
              <w:rPr/>
            </w:pPr>
            <w:r>
              <w:rPr/>
              <w:t xml:space="preserve">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r>
      <w:tr>
        <w:trPr/>
        <w:tc>
          <w:tcPr>
            <w:tcW w:w="2749" w:type="dxa"/>
            <w:tcBorders/>
            <w:shd w:fill="CCEEFF" w:val="clear"/>
            <w:vAlign w:val="center"/>
          </w:tcPr>
          <w:p>
            <w:pPr>
              <w:pStyle w:val="TableContents"/>
              <w:bidi w:val="0"/>
              <w:spacing w:before="0" w:after="0"/>
              <w:ind w:left="0" w:right="0" w:hanging="144"/>
              <w:jc w:val="left"/>
              <w:rPr/>
            </w:pPr>
            <w:r>
              <w:rPr/>
              <w:t xml:space="preserve">Short-term interest-bearing accounts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248,882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3.47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146,640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1,686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4.61</w:t>
            </w:r>
          </w:p>
        </w:tc>
        <w:tc>
          <w:tcPr>
            <w:tcW w:w="293" w:type="dxa"/>
            <w:tcBorders/>
            <w:shd w:fill="CCEEFF" w:val="cle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ind w:left="0" w:right="0" w:hanging="144"/>
              <w:jc w:val="left"/>
              <w:rPr/>
            </w:pPr>
            <w:r>
              <w:rPr/>
              <w:t>Securities taxable</w:t>
            </w:r>
            <w:r>
              <w:rPr>
                <w:position w:val="8"/>
                <w:sz w:val="19"/>
              </w:rPr>
              <w:t xml:space="preserve">(1)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2,633,502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17,713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2.70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2,486,349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14,890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2.40</w:t>
            </w:r>
          </w:p>
        </w:tc>
        <w:tc>
          <w:tcPr>
            <w:tcW w:w="293" w:type="dxa"/>
            <w:tcBorders/>
            <w:vAlign w:val="center"/>
          </w:tcPr>
          <w:p>
            <w:pPr>
              <w:pStyle w:val="TableContents"/>
              <w:bidi w:val="0"/>
              <w:spacing w:before="0" w:after="283"/>
              <w:jc w:val="left"/>
              <w:rPr/>
            </w:pPr>
            <w:r>
              <w:rPr/>
              <w:t>%</w:t>
            </w:r>
          </w:p>
        </w:tc>
      </w:tr>
      <w:tr>
        <w:trPr/>
        <w:tc>
          <w:tcPr>
            <w:tcW w:w="2749" w:type="dxa"/>
            <w:tcBorders/>
            <w:shd w:fill="CCEEFF" w:val="clear"/>
            <w:vAlign w:val="center"/>
          </w:tcPr>
          <w:p>
            <w:pPr>
              <w:pStyle w:val="TableContents"/>
              <w:bidi w:val="0"/>
              <w:spacing w:before="0" w:after="0"/>
              <w:ind w:left="0" w:right="0" w:hanging="144"/>
              <w:jc w:val="left"/>
              <w:rPr/>
            </w:pPr>
            <w:r>
              <w:rPr/>
              <w:t>Securities tax-exempt</w:t>
            </w:r>
            <w:r>
              <w:rPr>
                <w:position w:val="8"/>
                <w:sz w:val="19"/>
              </w:rPr>
              <w:t xml:space="preserve">(1) (3)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209,441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1,877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3.59</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221,328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3.65</w:t>
            </w:r>
          </w:p>
        </w:tc>
        <w:tc>
          <w:tcPr>
            <w:tcW w:w="293" w:type="dxa"/>
            <w:tcBorders/>
            <w:shd w:fill="CCEEFF" w:val="cle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ind w:left="0" w:right="0" w:hanging="144"/>
              <w:jc w:val="left"/>
              <w:rPr/>
            </w:pPr>
            <w:r>
              <w:rPr/>
              <w:t xml:space="preserve">FRB and FHLB stock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45,925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646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5.64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39,176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5.12</w:t>
            </w:r>
          </w:p>
        </w:tc>
        <w:tc>
          <w:tcPr>
            <w:tcW w:w="293" w:type="dxa"/>
            <w:tcBorders/>
            <w:vAlign w:val="center"/>
          </w:tcPr>
          <w:p>
            <w:pPr>
              <w:pStyle w:val="TableContents"/>
              <w:bidi w:val="0"/>
              <w:spacing w:before="0" w:after="283"/>
              <w:jc w:val="left"/>
              <w:rPr/>
            </w:pPr>
            <w:r>
              <w:rPr/>
              <w:t>%</w:t>
            </w:r>
          </w:p>
        </w:tc>
      </w:tr>
      <w:tr>
        <w:trPr/>
        <w:tc>
          <w:tcPr>
            <w:tcW w:w="2749"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Loans</w:t>
            </w:r>
            <w:r>
              <w:rPr>
                <w:position w:val="8"/>
                <w:sz w:val="19"/>
              </w:rPr>
              <w:t xml:space="preserve">(2) (3)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11,666,871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163,984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5.64</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11,064,920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159,144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12" w:space="0" w:color="000000"/>
            </w:tcBorders>
            <w:shd w:fill="CCEEFF" w:val="clear"/>
            <w:tcMar>
              <w:bottom w:w="28" w:type="dxa"/>
            </w:tcMar>
            <w:vAlign w:val="center"/>
          </w:tcPr>
          <w:p>
            <w:pPr>
              <w:pStyle w:val="TableContents"/>
              <w:bidi w:val="0"/>
              <w:spacing w:before="0" w:after="283"/>
              <w:jc w:val="right"/>
              <w:rPr/>
            </w:pPr>
            <w:r>
              <w:rPr/>
              <w:t>5.77</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749" w:type="dxa"/>
            <w:tcBorders>
              <w:bottom w:val="single" w:sz="12" w:space="0" w:color="000000"/>
            </w:tcBorders>
            <w:tcMar>
              <w:bottom w:w="28" w:type="dxa"/>
            </w:tcMar>
            <w:vAlign w:val="center"/>
          </w:tcPr>
          <w:p>
            <w:pPr>
              <w:pStyle w:val="TableContents"/>
              <w:bidi w:val="0"/>
              <w:spacing w:before="0" w:after="0"/>
              <w:jc w:val="left"/>
              <w:rPr/>
            </w:pPr>
            <w:r>
              <w:rPr/>
              <w:t xml:space="preserve">Total interest-earning assets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14,804,621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186,375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b/>
              </w:rPr>
            </w:pPr>
            <w:r>
              <w:rPr>
                <w:b/>
              </w:rPr>
              <w:t>5.05</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13,958,413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178,232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1" w:type="dxa"/>
            <w:tcBorders>
              <w:bottom w:val="single" w:sz="12" w:space="0" w:color="000000"/>
            </w:tcBorders>
            <w:tcMar>
              <w:bottom w:w="28" w:type="dxa"/>
            </w:tcMar>
            <w:vAlign w:val="center"/>
          </w:tcPr>
          <w:p>
            <w:pPr>
              <w:pStyle w:val="TableContents"/>
              <w:bidi w:val="0"/>
              <w:spacing w:before="0" w:after="283"/>
              <w:jc w:val="right"/>
              <w:rPr/>
            </w:pPr>
            <w:r>
              <w:rPr/>
              <w:t>5.12</w:t>
            </w:r>
          </w:p>
        </w:tc>
        <w:tc>
          <w:tcPr>
            <w:tcW w:w="293"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2749"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assets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1,300,564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1,242,690</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7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r>
      <w:tr>
        <w:trPr/>
        <w:tc>
          <w:tcPr>
            <w:tcW w:w="2749"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assets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16,105,185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spacing w:val="0"/>
              </w:rPr>
            </w:pPr>
            <w:r>
              <w:rPr>
                <w:spacing w:val="0"/>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15,201,103</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right"/>
              <w:rPr/>
            </w:pPr>
            <w:r>
              <w:rPr/>
              <w:t> </w:t>
            </w:r>
          </w:p>
        </w:tc>
        <w:tc>
          <w:tcPr>
            <w:tcW w:w="571"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3" w:type="dxa"/>
            <w:tcBorders>
              <w:bottom w:val="single" w:sz="12" w:space="0" w:color="000000"/>
            </w:tcBorders>
            <w:tcMar>
              <w:bottom w:w="28" w:type="dxa"/>
            </w:tcMar>
            <w:vAlign w:val="center"/>
          </w:tcPr>
          <w:p>
            <w:pPr>
              <w:pStyle w:val="TableContents"/>
              <w:bidi w:val="0"/>
              <w:spacing w:before="0" w:after="283"/>
              <w:jc w:val="right"/>
              <w:rPr/>
            </w:pPr>
            <w:r>
              <w:rPr/>
              <w:t> </w:t>
            </w:r>
          </w:p>
        </w:tc>
      </w:tr>
      <w:tr>
        <w:trPr/>
        <w:tc>
          <w:tcPr>
            <w:tcW w:w="2749" w:type="dxa"/>
            <w:tcBorders/>
            <w:shd w:fill="CCEEFF" w:val="clear"/>
            <w:vAlign w:val="center"/>
          </w:tcPr>
          <w:p>
            <w:pPr>
              <w:pStyle w:val="TableContents"/>
              <w:bidi w:val="0"/>
              <w:spacing w:before="0" w:after="0"/>
              <w:ind w:left="0" w:right="0" w:hanging="144"/>
              <w:jc w:val="left"/>
              <w:rPr/>
            </w:pPr>
            <w:r>
              <w:rPr/>
              <w:t xml:space="preserve">Liabilities and stockholders’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right"/>
              <w:rPr/>
            </w:pPr>
            <w:r>
              <w:rPr/>
              <w:t> </w:t>
            </w:r>
          </w:p>
        </w:tc>
        <w:tc>
          <w:tcPr>
            <w:tcW w:w="60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right"/>
              <w:rPr/>
            </w:pPr>
            <w:r>
              <w:rPr/>
              <w:t> </w:t>
            </w:r>
          </w:p>
        </w:tc>
        <w:tc>
          <w:tcPr>
            <w:tcW w:w="57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right"/>
              <w:rPr/>
            </w:pPr>
            <w:r>
              <w:rPr/>
              <w:t> </w:t>
            </w:r>
          </w:p>
        </w:tc>
      </w:tr>
      <w:tr>
        <w:trPr/>
        <w:tc>
          <w:tcPr>
            <w:tcW w:w="2749" w:type="dxa"/>
            <w:tcBorders/>
            <w:vAlign w:val="center"/>
          </w:tcPr>
          <w:p>
            <w:pPr>
              <w:pStyle w:val="TableContents"/>
              <w:bidi w:val="0"/>
              <w:spacing w:before="0" w:after="0"/>
              <w:ind w:left="0" w:right="0" w:hanging="144"/>
              <w:jc w:val="left"/>
              <w:rPr/>
            </w:pPr>
            <w:r>
              <w:rPr/>
              <w:t xml:space="preserve">Money market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4,273,336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28,115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2.64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3,808,024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28,521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3.00</w:t>
            </w:r>
          </w:p>
        </w:tc>
        <w:tc>
          <w:tcPr>
            <w:tcW w:w="293" w:type="dxa"/>
            <w:tcBorders/>
            <w:vAlign w:val="center"/>
          </w:tcPr>
          <w:p>
            <w:pPr>
              <w:pStyle w:val="TableContents"/>
              <w:bidi w:val="0"/>
              <w:spacing w:before="0" w:after="283"/>
              <w:jc w:val="left"/>
              <w:rPr/>
            </w:pPr>
            <w:r>
              <w:rPr/>
              <w:t>%</w:t>
            </w:r>
          </w:p>
        </w:tc>
      </w:tr>
      <w:tr>
        <w:trPr/>
        <w:tc>
          <w:tcPr>
            <w:tcW w:w="2749" w:type="dxa"/>
            <w:tcBorders/>
            <w:shd w:fill="CCEEFF" w:val="clear"/>
            <w:vAlign w:val="center"/>
          </w:tcPr>
          <w:p>
            <w:pPr>
              <w:pStyle w:val="TableContents"/>
              <w:bidi w:val="0"/>
              <w:spacing w:before="0" w:after="0"/>
              <w:ind w:left="0" w:right="0" w:hanging="144"/>
              <w:jc w:val="left"/>
              <w:rPr/>
            </w:pPr>
            <w:r>
              <w:rPr/>
              <w:t xml:space="preserve">Interest-bearing checking deposits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2,118,007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5,372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1.02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1,902,392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0.98</w:t>
            </w:r>
          </w:p>
        </w:tc>
        <w:tc>
          <w:tcPr>
            <w:tcW w:w="293" w:type="dxa"/>
            <w:tcBorders/>
            <w:shd w:fill="CCEEFF" w:val="cle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ind w:left="0" w:right="0" w:hanging="144"/>
              <w:jc w:val="left"/>
              <w:rPr/>
            </w:pPr>
            <w:r>
              <w:rPr/>
              <w:t xml:space="preserve">Savings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2,015,461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0.47</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1,852,027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0.35</w:t>
            </w:r>
          </w:p>
        </w:tc>
        <w:tc>
          <w:tcPr>
            <w:tcW w:w="293" w:type="dxa"/>
            <w:tcBorders/>
            <w:vAlign w:val="center"/>
          </w:tcPr>
          <w:p>
            <w:pPr>
              <w:pStyle w:val="TableContents"/>
              <w:bidi w:val="0"/>
              <w:spacing w:before="0" w:after="283"/>
              <w:jc w:val="left"/>
              <w:rPr/>
            </w:pPr>
            <w:r>
              <w:rPr/>
              <w:t>%</w:t>
            </w:r>
          </w:p>
        </w:tc>
      </w:tr>
      <w:tr>
        <w:trPr/>
        <w:tc>
          <w:tcPr>
            <w:tcW w:w="2749"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Time deposits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1,351,024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9,039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2.68</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1,600,908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13,438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12" w:space="0" w:color="000000"/>
            </w:tcBorders>
            <w:shd w:fill="CCEEFF" w:val="clear"/>
            <w:tcMar>
              <w:bottom w:w="28" w:type="dxa"/>
            </w:tcMar>
            <w:vAlign w:val="center"/>
          </w:tcPr>
          <w:p>
            <w:pPr>
              <w:pStyle w:val="TableContents"/>
              <w:bidi w:val="0"/>
              <w:spacing w:before="0" w:after="283"/>
              <w:jc w:val="right"/>
              <w:rPr/>
            </w:pPr>
            <w:r>
              <w:rPr/>
              <w:t>3.37</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jc w:val="left"/>
              <w:rPr/>
            </w:pPr>
            <w:r>
              <w:rPr/>
              <w:t xml:space="preserve">Total interest-bearing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9,757,828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44,879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1.84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9,163,351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48,219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2.11</w:t>
            </w:r>
          </w:p>
        </w:tc>
        <w:tc>
          <w:tcPr>
            <w:tcW w:w="293" w:type="dxa"/>
            <w:tcBorders/>
            <w:vAlign w:val="center"/>
          </w:tcPr>
          <w:p>
            <w:pPr>
              <w:pStyle w:val="TableContents"/>
              <w:bidi w:val="0"/>
              <w:spacing w:before="0" w:after="283"/>
              <w:jc w:val="left"/>
              <w:rPr/>
            </w:pPr>
            <w:r>
              <w:rPr/>
              <w:t>%</w:t>
            </w:r>
          </w:p>
        </w:tc>
      </w:tr>
      <w:tr>
        <w:trPr/>
        <w:tc>
          <w:tcPr>
            <w:tcW w:w="2749" w:type="dxa"/>
            <w:tcBorders/>
            <w:shd w:fill="CCEEFF" w:val="clear"/>
            <w:vAlign w:val="center"/>
          </w:tcPr>
          <w:p>
            <w:pPr>
              <w:pStyle w:val="TableContents"/>
              <w:bidi w:val="0"/>
              <w:spacing w:before="0" w:after="0"/>
              <w:ind w:left="0" w:right="0" w:hanging="144"/>
              <w:jc w:val="left"/>
              <w:rPr/>
            </w:pPr>
            <w:r>
              <w:rPr/>
              <w:t xml:space="preserve">Federal funds purchased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15,330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3.74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4.51</w:t>
            </w:r>
          </w:p>
        </w:tc>
        <w:tc>
          <w:tcPr>
            <w:tcW w:w="293" w:type="dxa"/>
            <w:tcBorders/>
            <w:shd w:fill="CCEEFF" w:val="cle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ind w:left="0" w:right="0" w:hanging="144"/>
              <w:jc w:val="left"/>
              <w:rPr/>
            </w:pPr>
            <w:r>
              <w:rPr/>
              <w:t xml:space="preserve">Repurchase agreements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112,557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716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2.55</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89,957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2.52</w:t>
            </w:r>
          </w:p>
        </w:tc>
        <w:tc>
          <w:tcPr>
            <w:tcW w:w="293" w:type="dxa"/>
            <w:tcBorders/>
            <w:vAlign w:val="center"/>
          </w:tcPr>
          <w:p>
            <w:pPr>
              <w:pStyle w:val="TableContents"/>
              <w:bidi w:val="0"/>
              <w:spacing w:before="0" w:after="283"/>
              <w:jc w:val="left"/>
              <w:rPr/>
            </w:pPr>
            <w:r>
              <w:rPr/>
              <w:t>%</w:t>
            </w:r>
          </w:p>
        </w:tc>
      </w:tr>
      <w:tr>
        <w:trPr/>
        <w:tc>
          <w:tcPr>
            <w:tcW w:w="2749" w:type="dxa"/>
            <w:tcBorders/>
            <w:shd w:fill="CCEEFF" w:val="clear"/>
            <w:vAlign w:val="center"/>
          </w:tcPr>
          <w:p>
            <w:pPr>
              <w:pStyle w:val="TableContents"/>
              <w:bidi w:val="0"/>
              <w:spacing w:before="0" w:after="0"/>
              <w:ind w:left="0" w:right="0" w:hanging="144"/>
              <w:jc w:val="left"/>
              <w:rPr/>
            </w:pPr>
            <w:r>
              <w:rPr/>
              <w:t xml:space="preserve">Short-term borrowings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31,291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3.92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27,845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4.62</w:t>
            </w:r>
          </w:p>
        </w:tc>
        <w:tc>
          <w:tcPr>
            <w:tcW w:w="293" w:type="dxa"/>
            <w:tcBorders/>
            <w:shd w:fill="CCEEFF" w:val="cle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ind w:left="0" w:right="0" w:hanging="144"/>
              <w:jc w:val="left"/>
              <w:rPr/>
            </w:pPr>
            <w:r>
              <w:rPr/>
              <w:t xml:space="preserve">Long-term debt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43,072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4.14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30,705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3.87</w:t>
            </w:r>
          </w:p>
        </w:tc>
        <w:tc>
          <w:tcPr>
            <w:tcW w:w="293" w:type="dxa"/>
            <w:tcBorders/>
            <w:vAlign w:val="center"/>
          </w:tcPr>
          <w:p>
            <w:pPr>
              <w:pStyle w:val="TableContents"/>
              <w:bidi w:val="0"/>
              <w:spacing w:before="0" w:after="283"/>
              <w:jc w:val="left"/>
              <w:rPr/>
            </w:pPr>
            <w:r>
              <w:rPr/>
              <w:t>%</w:t>
            </w:r>
          </w:p>
        </w:tc>
      </w:tr>
      <w:tr>
        <w:trPr/>
        <w:tc>
          <w:tcPr>
            <w:tcW w:w="2749" w:type="dxa"/>
            <w:tcBorders/>
            <w:shd w:fill="CCEEFF" w:val="clear"/>
            <w:vAlign w:val="center"/>
          </w:tcPr>
          <w:p>
            <w:pPr>
              <w:pStyle w:val="TableContents"/>
              <w:bidi w:val="0"/>
              <w:spacing w:before="0" w:after="0"/>
              <w:ind w:left="0" w:right="0" w:hanging="144"/>
              <w:jc w:val="left"/>
              <w:rPr/>
            </w:pPr>
            <w:r>
              <w:rPr/>
              <w:t xml:space="preserve">Subordinated debt,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24,259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10.10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134,684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5.96</w:t>
            </w:r>
          </w:p>
        </w:tc>
        <w:tc>
          <w:tcPr>
            <w:tcW w:w="293" w:type="dxa"/>
            <w:tcBorders/>
            <w:shd w:fill="CCEEFF" w:val="clear"/>
            <w:vAlign w:val="center"/>
          </w:tcPr>
          <w:p>
            <w:pPr>
              <w:pStyle w:val="TableContents"/>
              <w:bidi w:val="0"/>
              <w:spacing w:before="0" w:after="283"/>
              <w:jc w:val="left"/>
              <w:rPr/>
            </w:pPr>
            <w:r>
              <w:rPr/>
              <w:t>%</w:t>
            </w:r>
          </w:p>
        </w:tc>
      </w:tr>
      <w:tr>
        <w:trPr/>
        <w:tc>
          <w:tcPr>
            <w:tcW w:w="2749"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Junior subordinated debt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111,702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1,698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b/>
              </w:rPr>
            </w:pPr>
            <w:r>
              <w:rPr>
                <w:b/>
              </w:rPr>
              <w:t>6.10</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107,948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1,795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1" w:type="dxa"/>
            <w:tcBorders>
              <w:bottom w:val="single" w:sz="12" w:space="0" w:color="000000"/>
            </w:tcBorders>
            <w:tcMar>
              <w:bottom w:w="28" w:type="dxa"/>
            </w:tcMar>
            <w:vAlign w:val="center"/>
          </w:tcPr>
          <w:p>
            <w:pPr>
              <w:pStyle w:val="TableContents"/>
              <w:bidi w:val="0"/>
              <w:spacing w:before="0" w:after="283"/>
              <w:jc w:val="right"/>
              <w:rPr/>
            </w:pPr>
            <w:r>
              <w:rPr/>
              <w:t>6.67</w:t>
            </w:r>
          </w:p>
        </w:tc>
        <w:tc>
          <w:tcPr>
            <w:tcW w:w="293"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2749"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interest-bearing liabilities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10,096,039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48,798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1.94</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9,568,721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53,357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12" w:space="0" w:color="000000"/>
            </w:tcBorders>
            <w:shd w:fill="CCEEFF" w:val="clear"/>
            <w:tcMar>
              <w:bottom w:w="28" w:type="dxa"/>
            </w:tcMar>
            <w:vAlign w:val="center"/>
          </w:tcPr>
          <w:p>
            <w:pPr>
              <w:pStyle w:val="TableContents"/>
              <w:bidi w:val="0"/>
              <w:spacing w:before="0" w:after="283"/>
              <w:jc w:val="right"/>
              <w:rPr/>
            </w:pPr>
            <w:r>
              <w:rPr/>
              <w:t>2.24</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ind w:left="0" w:right="0" w:hanging="144"/>
              <w:jc w:val="left"/>
              <w:rPr/>
            </w:pPr>
            <w:r>
              <w:rPr/>
              <w:t xml:space="preserve">Demand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3,814,717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right"/>
              <w:rPr/>
            </w:pPr>
            <w:r>
              <w:rPr/>
              <w:t> </w:t>
            </w:r>
          </w:p>
        </w:tc>
        <w:tc>
          <w:tcPr>
            <w:tcW w:w="60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3,634,517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right"/>
              <w:rPr/>
            </w:pPr>
            <w:r>
              <w:rPr/>
              <w:t> </w:t>
            </w:r>
          </w:p>
        </w:tc>
        <w:tc>
          <w:tcPr>
            <w:tcW w:w="571" w:type="dxa"/>
            <w:tcBorders/>
            <w:vAlign w:val="center"/>
          </w:tcPr>
          <w:p>
            <w:pPr>
              <w:pStyle w:val="TableContents"/>
              <w:bidi w:val="0"/>
              <w:spacing w:before="0" w:after="283"/>
              <w:jc w:val="right"/>
              <w:rPr/>
            </w:pPr>
            <w:r>
              <w:rPr/>
              <w:t> </w:t>
            </w:r>
          </w:p>
        </w:tc>
        <w:tc>
          <w:tcPr>
            <w:tcW w:w="293" w:type="dxa"/>
            <w:tcBorders/>
            <w:vAlign w:val="center"/>
          </w:tcPr>
          <w:p>
            <w:pPr>
              <w:pStyle w:val="TableContents"/>
              <w:bidi w:val="0"/>
              <w:spacing w:before="0" w:after="283"/>
              <w:jc w:val="right"/>
              <w:rPr/>
            </w:pPr>
            <w:r>
              <w:rPr/>
              <w:t> </w:t>
            </w:r>
          </w:p>
        </w:tc>
      </w:tr>
      <w:tr>
        <w:trPr/>
        <w:tc>
          <w:tcPr>
            <w:tcW w:w="2749" w:type="dxa"/>
            <w:tcBorders/>
            <w:shd w:fill="CCEEFF" w:val="clear"/>
            <w:vAlign w:val="center"/>
          </w:tcPr>
          <w:p>
            <w:pPr>
              <w:pStyle w:val="TableContents"/>
              <w:bidi w:val="0"/>
              <w:spacing w:before="0" w:after="0"/>
              <w:ind w:left="0" w:right="0" w:hanging="144"/>
              <w:jc w:val="left"/>
              <w:rPr/>
            </w:pPr>
            <w:r>
              <w:rPr/>
              <w:t xml:space="preserve">Other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267,341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right"/>
              <w:rPr/>
            </w:pPr>
            <w:r>
              <w:rPr/>
              <w:t> </w:t>
            </w:r>
          </w:p>
        </w:tc>
        <w:tc>
          <w:tcPr>
            <w:tcW w:w="60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right"/>
              <w:rPr/>
            </w:pPr>
            <w:r>
              <w:rPr/>
              <w:t> </w:t>
            </w:r>
          </w:p>
        </w:tc>
        <w:tc>
          <w:tcPr>
            <w:tcW w:w="571"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right"/>
              <w:rPr/>
            </w:pPr>
            <w:r>
              <w:rPr/>
              <w:t> </w:t>
            </w:r>
          </w:p>
        </w:tc>
      </w:tr>
      <w:tr>
        <w:trPr/>
        <w:tc>
          <w:tcPr>
            <w:tcW w:w="2749"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Stockholders’ equity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1,927,088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1,712,508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right"/>
              <w:rPr/>
            </w:pPr>
            <w:r>
              <w:rPr/>
              <w:t> </w:t>
            </w:r>
          </w:p>
        </w:tc>
        <w:tc>
          <w:tcPr>
            <w:tcW w:w="571"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3" w:type="dxa"/>
            <w:tcBorders>
              <w:bottom w:val="single" w:sz="12" w:space="0" w:color="000000"/>
            </w:tcBorders>
            <w:tcMar>
              <w:bottom w:w="28" w:type="dxa"/>
            </w:tcMar>
            <w:vAlign w:val="center"/>
          </w:tcPr>
          <w:p>
            <w:pPr>
              <w:pStyle w:val="TableContents"/>
              <w:bidi w:val="0"/>
              <w:spacing w:before="0" w:after="283"/>
              <w:jc w:val="right"/>
              <w:rPr/>
            </w:pPr>
            <w:r>
              <w:rPr/>
              <w:t> </w:t>
            </w:r>
          </w:p>
        </w:tc>
      </w:tr>
      <w:tr>
        <w:trPr/>
        <w:tc>
          <w:tcPr>
            <w:tcW w:w="2749"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liabilities and stockholders’ equity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16,105,185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15,201,103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7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r>
      <w:tr>
        <w:trPr/>
        <w:tc>
          <w:tcPr>
            <w:tcW w:w="2749" w:type="dxa"/>
            <w:tcBorders>
              <w:bottom w:val="single" w:sz="12" w:space="0" w:color="000000"/>
            </w:tcBorders>
            <w:tcMar>
              <w:bottom w:w="28" w:type="dxa"/>
            </w:tcMar>
            <w:vAlign w:val="center"/>
          </w:tcPr>
          <w:p>
            <w:pPr>
              <w:pStyle w:val="TableContents"/>
              <w:bidi w:val="0"/>
              <w:spacing w:before="0" w:after="0"/>
              <w:jc w:val="left"/>
              <w:rPr/>
            </w:pPr>
            <w:r>
              <w:rPr/>
              <w:t xml:space="preserve">Net interest income (FTE)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137,577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124,875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right"/>
              <w:rPr/>
            </w:pPr>
            <w:r>
              <w:rPr/>
              <w:t> </w:t>
            </w:r>
          </w:p>
        </w:tc>
        <w:tc>
          <w:tcPr>
            <w:tcW w:w="571"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3" w:type="dxa"/>
            <w:tcBorders>
              <w:bottom w:val="single" w:sz="12" w:space="0" w:color="000000"/>
            </w:tcBorders>
            <w:tcMar>
              <w:bottom w:w="28" w:type="dxa"/>
            </w:tcMar>
            <w:vAlign w:val="center"/>
          </w:tcPr>
          <w:p>
            <w:pPr>
              <w:pStyle w:val="TableContents"/>
              <w:bidi w:val="0"/>
              <w:spacing w:before="0" w:after="283"/>
              <w:jc w:val="right"/>
              <w:rPr/>
            </w:pPr>
            <w:r>
              <w:rPr/>
              <w:t> </w:t>
            </w:r>
          </w:p>
        </w:tc>
      </w:tr>
      <w:tr>
        <w:trPr/>
        <w:tc>
          <w:tcPr>
            <w:tcW w:w="2749" w:type="dxa"/>
            <w:tcBorders/>
            <w:shd w:fill="CCEEFF" w:val="clear"/>
            <w:vAlign w:val="center"/>
          </w:tcPr>
          <w:p>
            <w:pPr>
              <w:pStyle w:val="TableContents"/>
              <w:bidi w:val="0"/>
              <w:spacing w:before="0" w:after="0"/>
              <w:ind w:left="0" w:right="0" w:hanging="144"/>
              <w:jc w:val="left"/>
              <w:rPr/>
            </w:pPr>
            <w:r>
              <w:rPr/>
              <w:t xml:space="preserve">Interest rate spread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b/>
              </w:rPr>
            </w:pPr>
            <w:r>
              <w:rPr>
                <w:b/>
              </w:rPr>
              <w:t>3.11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2.88</w:t>
            </w:r>
          </w:p>
        </w:tc>
        <w:tc>
          <w:tcPr>
            <w:tcW w:w="293" w:type="dxa"/>
            <w:tcBorders/>
            <w:shd w:fill="CCEEFF" w:val="clear"/>
            <w:vAlign w:val="center"/>
          </w:tcPr>
          <w:p>
            <w:pPr>
              <w:pStyle w:val="TableContents"/>
              <w:bidi w:val="0"/>
              <w:spacing w:before="0" w:after="283"/>
              <w:jc w:val="left"/>
              <w:rPr/>
            </w:pPr>
            <w:r>
              <w:rPr/>
              <w:t>%</w:t>
            </w:r>
          </w:p>
        </w:tc>
      </w:tr>
      <w:tr>
        <w:trPr/>
        <w:tc>
          <w:tcPr>
            <w:tcW w:w="2749" w:type="dxa"/>
            <w:tcBorders/>
            <w:vAlign w:val="center"/>
          </w:tcPr>
          <w:p>
            <w:pPr>
              <w:pStyle w:val="TableContents"/>
              <w:bidi w:val="0"/>
              <w:spacing w:before="0" w:after="0"/>
              <w:ind w:left="0" w:right="0" w:hanging="144"/>
              <w:jc w:val="left"/>
              <w:rPr/>
            </w:pPr>
            <w:r>
              <w:rPr/>
              <w:t xml:space="preserve">Net interest margin (FTE)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right"/>
              <w:rPr>
                <w:b/>
              </w:rPr>
            </w:pPr>
            <w:r>
              <w:rPr>
                <w:b/>
              </w:rPr>
              <w:t>3.73</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3.59</w:t>
            </w:r>
          </w:p>
        </w:tc>
        <w:tc>
          <w:tcPr>
            <w:tcW w:w="293" w:type="dxa"/>
            <w:tcBorders/>
            <w:vAlign w:val="center"/>
          </w:tcPr>
          <w:p>
            <w:pPr>
              <w:pStyle w:val="TableContents"/>
              <w:bidi w:val="0"/>
              <w:spacing w:before="0" w:after="283"/>
              <w:jc w:val="left"/>
              <w:rPr/>
            </w:pPr>
            <w:r>
              <w:rPr/>
              <w:t>%</w:t>
            </w:r>
          </w:p>
        </w:tc>
      </w:tr>
      <w:tr>
        <w:trPr/>
        <w:tc>
          <w:tcPr>
            <w:tcW w:w="2749"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Taxable equivalent adjustment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655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7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r>
      <w:tr>
        <w:trPr/>
        <w:tc>
          <w:tcPr>
            <w:tcW w:w="2749"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Net interest income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tcMar>
              <w:bottom w:w="28" w:type="dxa"/>
            </w:tcMar>
            <w:vAlign w:val="center"/>
          </w:tcPr>
          <w:p>
            <w:pPr>
              <w:pStyle w:val="TableContents"/>
              <w:bidi w:val="0"/>
              <w:spacing w:before="0" w:after="283"/>
              <w:jc w:val="right"/>
              <w:rPr>
                <w:b/>
              </w:rPr>
            </w:pPr>
            <w:r>
              <w:rPr>
                <w:b/>
              </w:rPr>
              <w:t>136,963</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1" w:type="dxa"/>
            <w:tcBorders>
              <w:bottom w:val="double" w:sz="8" w:space="0" w:color="000000"/>
            </w:tcBorders>
            <w:tcMar>
              <w:bottom w:w="28" w:type="dxa"/>
            </w:tcMar>
            <w:vAlign w:val="center"/>
          </w:tcPr>
          <w:p>
            <w:pPr>
              <w:pStyle w:val="TableContents"/>
              <w:bidi w:val="0"/>
              <w:spacing w:before="0" w:after="283"/>
              <w:jc w:val="right"/>
              <w:rPr/>
            </w:pPr>
            <w:r>
              <w:rPr/>
              <w:t> </w:t>
            </w:r>
          </w:p>
        </w:tc>
        <w:tc>
          <w:tcPr>
            <w:tcW w:w="603" w:type="dxa"/>
            <w:tcBorders>
              <w:bottom w:val="double" w:sz="8" w:space="0" w:color="000000"/>
            </w:tcBorders>
            <w:tcMar>
              <w:bottom w:w="28" w:type="dxa"/>
            </w:tcMar>
            <w:vAlign w:val="center"/>
          </w:tcPr>
          <w:p>
            <w:pPr>
              <w:pStyle w:val="TableContents"/>
              <w:bidi w:val="0"/>
              <w:spacing w:before="0" w:after="283"/>
              <w:jc w:val="right"/>
              <w:rPr/>
            </w:pPr>
            <w:r>
              <w:rPr/>
              <w:t> </w:t>
            </w:r>
          </w:p>
        </w:tc>
        <w:tc>
          <w:tcPr>
            <w:tcW w:w="2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124,220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08" w:type="dxa"/>
            <w:tcBorders>
              <w:bottom w:val="double" w:sz="8" w:space="0" w:color="000000"/>
            </w:tcBorders>
            <w:tcMar>
              <w:bottom w:w="28" w:type="dxa"/>
            </w:tcMar>
            <w:vAlign w:val="center"/>
          </w:tcPr>
          <w:p>
            <w:pPr>
              <w:pStyle w:val="TableContents"/>
              <w:bidi w:val="0"/>
              <w:spacing w:before="0" w:after="283"/>
              <w:jc w:val="right"/>
              <w:rPr/>
            </w:pPr>
            <w:r>
              <w:rPr/>
              <w:t> </w:t>
            </w:r>
          </w:p>
        </w:tc>
        <w:tc>
          <w:tcPr>
            <w:tcW w:w="571" w:type="dxa"/>
            <w:tcBorders>
              <w:bottom w:val="double" w:sz="8" w:space="0" w:color="000000"/>
            </w:tcBorders>
            <w:tcMar>
              <w:bottom w:w="28" w:type="dxa"/>
            </w:tcMar>
            <w:vAlign w:val="center"/>
          </w:tcPr>
          <w:p>
            <w:pPr>
              <w:pStyle w:val="TableContents"/>
              <w:bidi w:val="0"/>
              <w:spacing w:before="0" w:after="283"/>
              <w:jc w:val="right"/>
              <w:rPr/>
            </w:pPr>
            <w:r>
              <w:rPr/>
              <w:t> </w:t>
            </w:r>
          </w:p>
        </w:tc>
        <w:tc>
          <w:tcPr>
            <w:tcW w:w="293" w:type="dxa"/>
            <w:tcBorders>
              <w:bottom w:val="double" w:sz="8" w:space="0" w:color="000000"/>
            </w:tcBorders>
            <w:tcMar>
              <w:bottom w:w="28" w:type="dxa"/>
            </w:tcMar>
            <w:vAlign w:val="center"/>
          </w:tcPr>
          <w:p>
            <w:pPr>
              <w:pStyle w:val="TableContents"/>
              <w:bidi w:val="0"/>
              <w:spacing w:before="0" w:after="283"/>
              <w:jc w:val="right"/>
              <w:rPr/>
            </w:pPr>
            <w:r>
              <w:rPr/>
              <w:t>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Securities are shown at average amortized cost.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purposes of these computations, nonaccrual loans and loans held for sale are included in the average loan balances outstanding.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income for tax-exempt securities and loans have been adjusted to an FTE basis using the statutory Federal income tax rate of 21%.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2763"/>
        <w:gridCol w:w="90"/>
        <w:gridCol w:w="170"/>
        <w:gridCol w:w="1130"/>
        <w:gridCol w:w="90"/>
        <w:gridCol w:w="90"/>
        <w:gridCol w:w="170"/>
        <w:gridCol w:w="830"/>
        <w:gridCol w:w="90"/>
        <w:gridCol w:w="90"/>
        <w:gridCol w:w="108"/>
        <w:gridCol w:w="572"/>
        <w:gridCol w:w="290"/>
        <w:gridCol w:w="90"/>
        <w:gridCol w:w="170"/>
        <w:gridCol w:w="1130"/>
        <w:gridCol w:w="90"/>
        <w:gridCol w:w="90"/>
        <w:gridCol w:w="170"/>
        <w:gridCol w:w="830"/>
        <w:gridCol w:w="90"/>
        <w:gridCol w:w="90"/>
        <w:gridCol w:w="108"/>
        <w:gridCol w:w="572"/>
        <w:gridCol w:w="292"/>
      </w:tblGrid>
      <w:tr>
        <w:trPr/>
        <w:tc>
          <w:tcPr>
            <w:tcW w:w="27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ind w:left="0" w:right="0" w:hanging="144"/>
              <w:jc w:val="left"/>
              <w:rPr/>
            </w:pPr>
            <w:r>
              <w:rPr>
                <w:b/>
              </w:rPr>
              <w:t>Six Months Ended</w:t>
            </w:r>
            <w:r>
              <w:rPr/>
              <w:t xml:space="preserve"> </w:t>
            </w:r>
          </w:p>
        </w:tc>
        <w:tc>
          <w:tcPr>
            <w:tcW w:w="90" w:type="dxa"/>
            <w:tcBorders/>
            <w:vAlign w:val="center"/>
          </w:tcPr>
          <w:p>
            <w:pPr>
              <w:pStyle w:val="TableContents"/>
              <w:bidi w:val="0"/>
              <w:spacing w:before="0" w:after="283"/>
              <w:jc w:val="left"/>
              <w:rPr/>
            </w:pPr>
            <w:r>
              <w:rPr/>
            </w:r>
          </w:p>
        </w:tc>
        <w:tc>
          <w:tcPr>
            <w:tcW w:w="3340" w:type="dxa"/>
            <w:gridSpan w:val="10"/>
            <w:tcBorders/>
            <w:vAlign w:val="center"/>
          </w:tcPr>
          <w:p>
            <w:pPr>
              <w:pStyle w:val="TableContents"/>
              <w:bidi w:val="0"/>
              <w:spacing w:before="0" w:after="283"/>
              <w:jc w:val="center"/>
              <w:rPr/>
            </w:pPr>
            <w:r>
              <w:rPr>
                <w:b/>
                <w:spacing w:val="0"/>
              </w:rPr>
              <w:t>June 30, 2026</w:t>
            </w:r>
            <w:r>
              <w:rPr/>
              <w:t xml:space="preserve"> </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3340" w:type="dxa"/>
            <w:gridSpan w:val="10"/>
            <w:tcBorders/>
            <w:vAlign w:val="center"/>
          </w:tcPr>
          <w:p>
            <w:pPr>
              <w:pStyle w:val="TableContents"/>
              <w:bidi w:val="0"/>
              <w:spacing w:before="0" w:after="283"/>
              <w:jc w:val="center"/>
              <w:rPr/>
            </w:pPr>
            <w:r>
              <w:rPr>
                <w:b/>
                <w:spacing w:val="0"/>
              </w:rPr>
              <w:t>June 30, 2025</w:t>
            </w:r>
            <w:r>
              <w:rPr/>
              <w:t xml:space="preserve"> </w:t>
            </w:r>
          </w:p>
        </w:tc>
        <w:tc>
          <w:tcPr>
            <w:tcW w:w="292" w:type="dxa"/>
            <w:tcBorders/>
            <w:vAlign w:val="center"/>
          </w:tcPr>
          <w:p>
            <w:pPr>
              <w:pStyle w:val="TableContents"/>
              <w:bidi w:val="0"/>
              <w:spacing w:before="0" w:after="283"/>
              <w:jc w:val="center"/>
              <w:rPr/>
            </w:pPr>
            <w:r>
              <w:rPr/>
              <w:t> </w:t>
            </w:r>
          </w:p>
        </w:tc>
      </w:tr>
      <w:tr>
        <w:trPr/>
        <w:tc>
          <w:tcPr>
            <w:tcW w:w="2763"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(Dollars 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spacing w:val="0"/>
              </w:rPr>
              <w:t>Average</w:t>
            </w:r>
            <w:r>
              <w:rPr>
                <w:b/>
              </w:rPr>
              <w:br/>
              <w:t>Balance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Interest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Yield/ </w:t>
              <w:br/>
              <w:t>Rates</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b/>
              </w:rPr>
              <w:t>Average</w:t>
              <w:br/>
              <w:t>Balance</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b/>
              </w:rPr>
              <w:t>Interest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Yield/ </w:t>
              <w:br/>
              <w:t>Rates</w:t>
            </w:r>
            <w:r>
              <w:rPr/>
              <w:t xml:space="preserve"> </w:t>
            </w:r>
          </w:p>
        </w:tc>
        <w:tc>
          <w:tcPr>
            <w:tcW w:w="292"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763" w:type="dxa"/>
            <w:tcBorders/>
            <w:vAlign w:val="center"/>
          </w:tcPr>
          <w:p>
            <w:pPr>
              <w:pStyle w:val="TableContents"/>
              <w:bidi w:val="0"/>
              <w:spacing w:before="0" w:after="0"/>
              <w:ind w:left="0" w:right="0" w:hanging="144"/>
              <w:jc w:val="left"/>
              <w:rPr/>
            </w:pPr>
            <w:r>
              <w:rPr/>
              <w:t xml:space="preserve">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ind w:left="0" w:right="0" w:hanging="144"/>
              <w:jc w:val="left"/>
              <w:rPr/>
            </w:pPr>
            <w:r>
              <w:rPr/>
              <w:t xml:space="preserve">Short-term interest-bearing accounts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302,346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5,282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b/>
              </w:rPr>
            </w:pPr>
            <w:r>
              <w:rPr>
                <w:b/>
              </w:rPr>
              <w:t>3.52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105,150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4.58</w:t>
            </w:r>
          </w:p>
        </w:tc>
        <w:tc>
          <w:tcPr>
            <w:tcW w:w="292" w:type="dxa"/>
            <w:tcBorders/>
            <w:shd w:fill="CCEEFF" w:val="cle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ind w:left="0" w:right="0" w:hanging="144"/>
              <w:jc w:val="left"/>
              <w:rPr/>
            </w:pPr>
            <w:r>
              <w:rPr/>
              <w:t>Securities taxable</w:t>
            </w:r>
            <w:r>
              <w:rPr>
                <w:position w:val="8"/>
                <w:sz w:val="19"/>
              </w:rPr>
              <w:t xml:space="preserve">(1)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2,590,908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34,186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2.66</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2,444,791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28,520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2.35</w:t>
            </w:r>
          </w:p>
        </w:tc>
        <w:tc>
          <w:tcPr>
            <w:tcW w:w="292" w:type="dxa"/>
            <w:tcBorders/>
            <w:vAlign w:val="center"/>
          </w:tcPr>
          <w:p>
            <w:pPr>
              <w:pStyle w:val="TableContents"/>
              <w:bidi w:val="0"/>
              <w:spacing w:before="0" w:after="283"/>
              <w:jc w:val="left"/>
              <w:rPr/>
            </w:pPr>
            <w:r>
              <w:rPr/>
              <w:t>%</w:t>
            </w:r>
          </w:p>
        </w:tc>
      </w:tr>
      <w:tr>
        <w:trPr/>
        <w:tc>
          <w:tcPr>
            <w:tcW w:w="2763" w:type="dxa"/>
            <w:tcBorders/>
            <w:shd w:fill="CCEEFF" w:val="clear"/>
            <w:vAlign w:val="center"/>
          </w:tcPr>
          <w:p>
            <w:pPr>
              <w:pStyle w:val="TableContents"/>
              <w:bidi w:val="0"/>
              <w:spacing w:before="0" w:after="0"/>
              <w:ind w:left="0" w:right="0" w:hanging="144"/>
              <w:jc w:val="left"/>
              <w:rPr/>
            </w:pPr>
            <w:r>
              <w:rPr/>
              <w:t>Securities tax-exempt</w:t>
            </w:r>
            <w:r>
              <w:rPr>
                <w:position w:val="8"/>
                <w:sz w:val="19"/>
              </w:rPr>
              <w:t xml:space="preserve">(1) (3)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200,982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3,598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b/>
              </w:rPr>
            </w:pPr>
            <w:r>
              <w:rPr>
                <w:b/>
              </w:rPr>
              <w:t>3.61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220,772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3.62</w:t>
            </w:r>
          </w:p>
        </w:tc>
        <w:tc>
          <w:tcPr>
            <w:tcW w:w="292" w:type="dxa"/>
            <w:tcBorders/>
            <w:shd w:fill="CCEEFF" w:val="cle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ind w:left="0" w:right="0" w:hanging="144"/>
              <w:jc w:val="left"/>
              <w:rPr/>
            </w:pPr>
            <w:r>
              <w:rPr/>
              <w:t xml:space="preserve">FRB and FHLB stock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45,260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5.48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36,338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5.40</w:t>
            </w:r>
          </w:p>
        </w:tc>
        <w:tc>
          <w:tcPr>
            <w:tcW w:w="292" w:type="dxa"/>
            <w:tcBorders/>
            <w:vAlign w:val="center"/>
          </w:tcPr>
          <w:p>
            <w:pPr>
              <w:pStyle w:val="TableContents"/>
              <w:bidi w:val="0"/>
              <w:spacing w:before="0" w:after="283"/>
              <w:jc w:val="left"/>
              <w:rPr/>
            </w:pPr>
            <w:r>
              <w:rPr/>
              <w:t>%</w:t>
            </w:r>
          </w:p>
        </w:tc>
      </w:tr>
      <w:tr>
        <w:trPr/>
        <w:tc>
          <w:tcPr>
            <w:tcW w:w="276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Loans</w:t>
            </w:r>
            <w:r>
              <w:rPr>
                <w:position w:val="8"/>
                <w:sz w:val="19"/>
              </w:rPr>
              <w:t xml:space="preserve">(2) (3)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11,610,529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325,302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10,526,197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297,422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right"/>
              <w:rPr/>
            </w:pPr>
            <w:r>
              <w:rPr/>
              <w:t>5.70</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763" w:type="dxa"/>
            <w:tcBorders>
              <w:bottom w:val="single" w:sz="12" w:space="0" w:color="000000"/>
            </w:tcBorders>
            <w:tcMar>
              <w:bottom w:w="28" w:type="dxa"/>
            </w:tcMar>
            <w:vAlign w:val="center"/>
          </w:tcPr>
          <w:p>
            <w:pPr>
              <w:pStyle w:val="TableContents"/>
              <w:bidi w:val="0"/>
              <w:spacing w:before="0" w:after="0"/>
              <w:jc w:val="left"/>
              <w:rPr/>
            </w:pPr>
            <w:r>
              <w:rPr/>
              <w:t xml:space="preserve">Total interest-earning assets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14,750,025</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369,599</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right"/>
              <w:rPr>
                <w:b/>
              </w:rPr>
            </w:pPr>
            <w:r>
              <w:rPr>
                <w:b/>
              </w:rPr>
              <w:t>5.05</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13,333,248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333,272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right"/>
              <w:rPr/>
            </w:pPr>
            <w:r>
              <w:rPr/>
              <w:t>5.04</w:t>
            </w:r>
          </w:p>
        </w:tc>
        <w:tc>
          <w:tcPr>
            <w:tcW w:w="292"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276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assets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1,307,859</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spacing w:val="0"/>
              </w:rPr>
            </w:pPr>
            <w:r>
              <w:rPr>
                <w:spacing w:val="0"/>
              </w:rPr>
              <w:t>1,165,806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63"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assets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16,057,884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spacing w:val="0"/>
              </w:rPr>
            </w:pPr>
            <w:r>
              <w:rPr>
                <w:spacing w:val="0"/>
              </w:rPr>
              <w:t>$</w:t>
            </w:r>
          </w:p>
        </w:tc>
        <w:tc>
          <w:tcPr>
            <w:tcW w:w="1130" w:type="dxa"/>
            <w:tcBorders>
              <w:bottom w:val="single" w:sz="12" w:space="0" w:color="000000"/>
            </w:tcBorders>
            <w:tcMar>
              <w:bottom w:w="28" w:type="dxa"/>
            </w:tcMar>
            <w:vAlign w:val="center"/>
          </w:tcPr>
          <w:p>
            <w:pPr>
              <w:pStyle w:val="TableContents"/>
              <w:bidi w:val="0"/>
              <w:spacing w:before="0" w:after="283"/>
              <w:jc w:val="right"/>
              <w:rPr>
                <w:spacing w:val="0"/>
              </w:rPr>
            </w:pPr>
            <w:r>
              <w:rPr>
                <w:spacing w:val="0"/>
              </w:rPr>
              <w:t>14,499,054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ind w:left="0" w:right="0" w:hanging="144"/>
              <w:jc w:val="left"/>
              <w:rPr/>
            </w:pPr>
            <w:r>
              <w:rPr/>
              <w:t xml:space="preserve">Liabilities and stockholders’ equity: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ind w:left="0" w:right="0" w:hanging="144"/>
              <w:jc w:val="left"/>
              <w:rPr/>
            </w:pPr>
            <w:r>
              <w:rPr/>
              <w:t xml:space="preserve">Money market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4,230,993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55,340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2.64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3,653,148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54,719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3.02</w:t>
            </w:r>
          </w:p>
        </w:tc>
        <w:tc>
          <w:tcPr>
            <w:tcW w:w="292" w:type="dxa"/>
            <w:tcBorders/>
            <w:vAlign w:val="center"/>
          </w:tcPr>
          <w:p>
            <w:pPr>
              <w:pStyle w:val="TableContents"/>
              <w:bidi w:val="0"/>
              <w:spacing w:before="0" w:after="283"/>
              <w:jc w:val="left"/>
              <w:rPr/>
            </w:pPr>
            <w:r>
              <w:rPr/>
              <w:t>%</w:t>
            </w:r>
          </w:p>
        </w:tc>
      </w:tr>
      <w:tr>
        <w:trPr/>
        <w:tc>
          <w:tcPr>
            <w:tcW w:w="2763" w:type="dxa"/>
            <w:tcBorders/>
            <w:shd w:fill="CCEEFF" w:val="clear"/>
            <w:vAlign w:val="center"/>
          </w:tcPr>
          <w:p>
            <w:pPr>
              <w:pStyle w:val="TableContents"/>
              <w:bidi w:val="0"/>
              <w:spacing w:before="0" w:after="0"/>
              <w:ind w:left="0" w:right="0" w:hanging="144"/>
              <w:jc w:val="left"/>
              <w:rPr/>
            </w:pPr>
            <w:r>
              <w:rPr/>
              <w:t xml:space="preserve">Interest-bearing checking deposits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2,117,645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10,824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b/>
              </w:rPr>
            </w:pPr>
            <w:r>
              <w:rPr>
                <w:b/>
              </w:rPr>
              <w:t>1.03</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1,792,937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8,135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0.91</w:t>
            </w:r>
          </w:p>
        </w:tc>
        <w:tc>
          <w:tcPr>
            <w:tcW w:w="292" w:type="dxa"/>
            <w:tcBorders/>
            <w:shd w:fill="CCEEFF" w:val="cle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ind w:left="0" w:right="0" w:hanging="144"/>
              <w:jc w:val="left"/>
              <w:rPr/>
            </w:pPr>
            <w:r>
              <w:rPr/>
              <w:t xml:space="preserve">Savings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1,984,451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4,358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0.44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1,712,624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0.21</w:t>
            </w:r>
          </w:p>
        </w:tc>
        <w:tc>
          <w:tcPr>
            <w:tcW w:w="292" w:type="dxa"/>
            <w:tcBorders/>
            <w:vAlign w:val="center"/>
          </w:tcPr>
          <w:p>
            <w:pPr>
              <w:pStyle w:val="TableContents"/>
              <w:bidi w:val="0"/>
              <w:spacing w:before="0" w:after="283"/>
              <w:jc w:val="left"/>
              <w:rPr/>
            </w:pPr>
            <w:r>
              <w:rPr/>
              <w:t>%</w:t>
            </w:r>
          </w:p>
        </w:tc>
      </w:tr>
      <w:tr>
        <w:trPr/>
        <w:tc>
          <w:tcPr>
            <w:tcW w:w="276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Time deposits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1,402,795</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19,192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2.76</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1,526,292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26,147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right"/>
              <w:rPr/>
            </w:pPr>
            <w:r>
              <w:rPr/>
              <w:t>3.45</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jc w:val="left"/>
              <w:rPr/>
            </w:pPr>
            <w:r>
              <w:rPr/>
              <w:t xml:space="preserve">Total interest-bearing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9,735,884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89,714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1.86</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8,685,001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90,807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2.11</w:t>
            </w:r>
          </w:p>
        </w:tc>
        <w:tc>
          <w:tcPr>
            <w:tcW w:w="292" w:type="dxa"/>
            <w:tcBorders/>
            <w:vAlign w:val="center"/>
          </w:tcPr>
          <w:p>
            <w:pPr>
              <w:pStyle w:val="TableContents"/>
              <w:bidi w:val="0"/>
              <w:spacing w:before="0" w:after="283"/>
              <w:jc w:val="left"/>
              <w:rPr/>
            </w:pPr>
            <w:r>
              <w:rPr/>
              <w:t>%</w:t>
            </w:r>
          </w:p>
        </w:tc>
      </w:tr>
      <w:tr>
        <w:trPr/>
        <w:tc>
          <w:tcPr>
            <w:tcW w:w="2763" w:type="dxa"/>
            <w:tcBorders/>
            <w:shd w:fill="CCEEFF" w:val="clear"/>
            <w:vAlign w:val="center"/>
          </w:tcPr>
          <w:p>
            <w:pPr>
              <w:pStyle w:val="TableContents"/>
              <w:bidi w:val="0"/>
              <w:spacing w:before="0" w:after="0"/>
              <w:ind w:left="0" w:right="0" w:hanging="144"/>
              <w:jc w:val="left"/>
              <w:rPr/>
            </w:pPr>
            <w:r>
              <w:rPr/>
              <w:t xml:space="preserve">Federal funds purchased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7,707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b/>
              </w:rPr>
            </w:pPr>
            <w:r>
              <w:rPr>
                <w:b/>
              </w:rPr>
              <w:t>3.74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4.50</w:t>
            </w:r>
          </w:p>
        </w:tc>
        <w:tc>
          <w:tcPr>
            <w:tcW w:w="292" w:type="dxa"/>
            <w:tcBorders/>
            <w:shd w:fill="CCEEFF" w:val="cle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ind w:left="0" w:right="0" w:hanging="144"/>
              <w:jc w:val="left"/>
              <w:rPr/>
            </w:pPr>
            <w:r>
              <w:rPr/>
              <w:t xml:space="preserve">Repurchase agreements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119,253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1,539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2.60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98,678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2.71</w:t>
            </w:r>
          </w:p>
        </w:tc>
        <w:tc>
          <w:tcPr>
            <w:tcW w:w="292" w:type="dxa"/>
            <w:tcBorders/>
            <w:vAlign w:val="center"/>
          </w:tcPr>
          <w:p>
            <w:pPr>
              <w:pStyle w:val="TableContents"/>
              <w:bidi w:val="0"/>
              <w:spacing w:before="0" w:after="283"/>
              <w:jc w:val="left"/>
              <w:rPr/>
            </w:pPr>
            <w:r>
              <w:rPr/>
              <w:t>%</w:t>
            </w:r>
          </w:p>
        </w:tc>
      </w:tr>
      <w:tr>
        <w:trPr/>
        <w:tc>
          <w:tcPr>
            <w:tcW w:w="2763" w:type="dxa"/>
            <w:tcBorders/>
            <w:shd w:fill="CCEEFF" w:val="clear"/>
            <w:vAlign w:val="center"/>
          </w:tcPr>
          <w:p>
            <w:pPr>
              <w:pStyle w:val="TableContents"/>
              <w:bidi w:val="0"/>
              <w:spacing w:before="0" w:after="0"/>
              <w:ind w:left="0" w:right="0" w:hanging="144"/>
              <w:jc w:val="left"/>
              <w:rPr/>
            </w:pPr>
            <w:r>
              <w:rPr/>
              <w:t xml:space="preserve">Short-term borrowings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15,732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b/>
              </w:rPr>
            </w:pPr>
            <w:r>
              <w:rPr>
                <w:b/>
              </w:rPr>
              <w:t>3.91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4.61</w:t>
            </w:r>
          </w:p>
        </w:tc>
        <w:tc>
          <w:tcPr>
            <w:tcW w:w="292" w:type="dxa"/>
            <w:tcBorders/>
            <w:shd w:fill="CCEEFF" w:val="cle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ind w:left="0" w:right="0" w:hanging="144"/>
              <w:jc w:val="left"/>
              <w:rPr/>
            </w:pPr>
            <w:r>
              <w:rPr/>
              <w:t xml:space="preserve">Long-term debt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43,105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886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4.14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29,198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3.88</w:t>
            </w:r>
          </w:p>
        </w:tc>
        <w:tc>
          <w:tcPr>
            <w:tcW w:w="292" w:type="dxa"/>
            <w:tcBorders/>
            <w:vAlign w:val="center"/>
          </w:tcPr>
          <w:p>
            <w:pPr>
              <w:pStyle w:val="TableContents"/>
              <w:bidi w:val="0"/>
              <w:spacing w:before="0" w:after="283"/>
              <w:jc w:val="left"/>
              <w:rPr/>
            </w:pPr>
            <w:r>
              <w:rPr/>
              <w:t>%</w:t>
            </w:r>
          </w:p>
        </w:tc>
      </w:tr>
      <w:tr>
        <w:trPr/>
        <w:tc>
          <w:tcPr>
            <w:tcW w:w="2763" w:type="dxa"/>
            <w:tcBorders/>
            <w:shd w:fill="CCEEFF" w:val="clear"/>
            <w:vAlign w:val="center"/>
          </w:tcPr>
          <w:p>
            <w:pPr>
              <w:pStyle w:val="TableContents"/>
              <w:bidi w:val="0"/>
              <w:spacing w:before="0" w:after="0"/>
              <w:ind w:left="0" w:right="0" w:hanging="144"/>
              <w:jc w:val="left"/>
              <w:rPr/>
            </w:pPr>
            <w:r>
              <w:rPr/>
              <w:t xml:space="preserve">Subordinated debt,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24,456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1,121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b/>
              </w:rPr>
            </w:pPr>
            <w:r>
              <w:rPr>
                <w:b/>
              </w:rPr>
              <w:t>9.24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128,044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6.02</w:t>
            </w:r>
          </w:p>
        </w:tc>
        <w:tc>
          <w:tcPr>
            <w:tcW w:w="292" w:type="dxa"/>
            <w:tcBorders/>
            <w:shd w:fill="CCEEFF" w:val="clear"/>
            <w:vAlign w:val="center"/>
          </w:tcPr>
          <w:p>
            <w:pPr>
              <w:pStyle w:val="TableContents"/>
              <w:bidi w:val="0"/>
              <w:spacing w:before="0" w:after="283"/>
              <w:jc w:val="left"/>
              <w:rPr/>
            </w:pPr>
            <w:r>
              <w:rPr/>
              <w:t>%</w:t>
            </w:r>
          </w:p>
        </w:tc>
      </w:tr>
      <w:tr>
        <w:trPr/>
        <w:tc>
          <w:tcPr>
            <w:tcW w:w="2763"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Junior subordinated debt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111,691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3,388</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right"/>
              <w:rPr>
                <w:b/>
              </w:rPr>
            </w:pPr>
            <w:r>
              <w:rPr>
                <w:b/>
              </w:rPr>
              <w:t>6.12</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104,590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3,434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right"/>
              <w:rPr/>
            </w:pPr>
            <w:r>
              <w:rPr/>
              <w:t>6.62</w:t>
            </w:r>
          </w:p>
        </w:tc>
        <w:tc>
          <w:tcPr>
            <w:tcW w:w="292"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2763"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interest-bearing liabilities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10,057,828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97,096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9,071,296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100,538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right"/>
              <w:rPr/>
            </w:pPr>
            <w:r>
              <w:rPr/>
              <w:t>2.23</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ind w:left="0" w:right="0" w:hanging="144"/>
              <w:jc w:val="left"/>
              <w:rPr/>
            </w:pPr>
            <w:r>
              <w:rPr/>
              <w:t xml:space="preserve">Demand deposits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3,813,319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3,510,487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ind w:left="0" w:right="0" w:hanging="144"/>
              <w:jc w:val="left"/>
              <w:rPr/>
            </w:pPr>
            <w:r>
              <w:rPr/>
              <w:t xml:space="preserve">Other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270,621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291,139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2763"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Stockholders’ equity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1,916,116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1,626,132</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6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liabilities and stockholders’ equity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16,057,884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14,499,054</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63" w:type="dxa"/>
            <w:tcBorders>
              <w:bottom w:val="single" w:sz="12" w:space="0" w:color="000000"/>
            </w:tcBorders>
            <w:tcMar>
              <w:bottom w:w="28" w:type="dxa"/>
            </w:tcMar>
            <w:vAlign w:val="center"/>
          </w:tcPr>
          <w:p>
            <w:pPr>
              <w:pStyle w:val="TableContents"/>
              <w:bidi w:val="0"/>
              <w:spacing w:before="0" w:after="0"/>
              <w:jc w:val="left"/>
              <w:rPr/>
            </w:pPr>
            <w:r>
              <w:rPr/>
              <w:t xml:space="preserve">Net interest income (FTE)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272,503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232,734</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ind w:left="0" w:right="0" w:hanging="144"/>
              <w:jc w:val="left"/>
              <w:rPr/>
            </w:pPr>
            <w:r>
              <w:rPr/>
              <w:t xml:space="preserve">Interest rate spread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b/>
              </w:rPr>
            </w:pPr>
            <w:r>
              <w:rPr>
                <w:b/>
              </w:rPr>
              <w:t>3.10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2.81</w:t>
            </w:r>
          </w:p>
        </w:tc>
        <w:tc>
          <w:tcPr>
            <w:tcW w:w="292" w:type="dxa"/>
            <w:tcBorders/>
            <w:shd w:fill="CCEEFF" w:val="clear"/>
            <w:vAlign w:val="center"/>
          </w:tcPr>
          <w:p>
            <w:pPr>
              <w:pStyle w:val="TableContents"/>
              <w:bidi w:val="0"/>
              <w:spacing w:before="0" w:after="283"/>
              <w:jc w:val="left"/>
              <w:rPr/>
            </w:pPr>
            <w:r>
              <w:rPr/>
              <w:t>%</w:t>
            </w:r>
          </w:p>
        </w:tc>
      </w:tr>
      <w:tr>
        <w:trPr/>
        <w:tc>
          <w:tcPr>
            <w:tcW w:w="2763" w:type="dxa"/>
            <w:tcBorders/>
            <w:vAlign w:val="center"/>
          </w:tcPr>
          <w:p>
            <w:pPr>
              <w:pStyle w:val="TableContents"/>
              <w:bidi w:val="0"/>
              <w:spacing w:before="0" w:after="0"/>
              <w:ind w:left="0" w:right="0" w:hanging="144"/>
              <w:jc w:val="left"/>
              <w:rPr/>
            </w:pPr>
            <w:r>
              <w:rPr/>
              <w:t xml:space="preserve">Net interest margin (FTE)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b/>
              </w:rPr>
            </w:pPr>
            <w:r>
              <w:rPr>
                <w:b/>
              </w:rPr>
              <w:t>3.73</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right"/>
              <w:rPr/>
            </w:pPr>
            <w:r>
              <w:rPr/>
              <w:t>3.52</w:t>
            </w:r>
          </w:p>
        </w:tc>
        <w:tc>
          <w:tcPr>
            <w:tcW w:w="292" w:type="dxa"/>
            <w:tcBorders/>
            <w:vAlign w:val="center"/>
          </w:tcPr>
          <w:p>
            <w:pPr>
              <w:pStyle w:val="TableContents"/>
              <w:bidi w:val="0"/>
              <w:spacing w:before="0" w:after="283"/>
              <w:jc w:val="left"/>
              <w:rPr/>
            </w:pPr>
            <w:r>
              <w:rPr/>
              <w:t>%</w:t>
            </w:r>
          </w:p>
        </w:tc>
      </w:tr>
      <w:tr>
        <w:trPr/>
        <w:tc>
          <w:tcPr>
            <w:tcW w:w="276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Taxable equivalent adjustment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1,192</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1,291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763"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Net interest income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right"/>
              <w:rPr/>
            </w:pPr>
            <w:r>
              <w:rPr/>
              <w:t> </w:t>
            </w:r>
          </w:p>
        </w:tc>
        <w:tc>
          <w:tcPr>
            <w:tcW w:w="113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tcMar>
              <w:bottom w:w="28" w:type="dxa"/>
            </w:tcMar>
            <w:vAlign w:val="center"/>
          </w:tcPr>
          <w:p>
            <w:pPr>
              <w:pStyle w:val="TableContents"/>
              <w:bidi w:val="0"/>
              <w:spacing w:before="0" w:after="283"/>
              <w:jc w:val="right"/>
              <w:rPr>
                <w:b/>
              </w:rPr>
            </w:pPr>
            <w:r>
              <w:rPr>
                <w:b/>
              </w:rPr>
              <w:t>271,311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08" w:type="dxa"/>
            <w:tcBorders>
              <w:bottom w:val="double" w:sz="8" w:space="0" w:color="000000"/>
            </w:tcBorders>
            <w:tcMar>
              <w:bottom w:w="28" w:type="dxa"/>
            </w:tcMar>
            <w:vAlign w:val="center"/>
          </w:tcPr>
          <w:p>
            <w:pPr>
              <w:pStyle w:val="TableContents"/>
              <w:bidi w:val="0"/>
              <w:spacing w:before="0" w:after="283"/>
              <w:jc w:val="left"/>
              <w:rPr/>
            </w:pPr>
            <w:r>
              <w:rPr/>
              <w:t> </w:t>
            </w:r>
          </w:p>
        </w:tc>
        <w:tc>
          <w:tcPr>
            <w:tcW w:w="572" w:type="dxa"/>
            <w:tcBorders>
              <w:bottom w:val="double" w:sz="8" w:space="0" w:color="000000"/>
            </w:tcBorders>
            <w:tcMar>
              <w:bottom w:w="28" w:type="dxa"/>
            </w:tcMar>
            <w:vAlign w:val="center"/>
          </w:tcPr>
          <w:p>
            <w:pPr>
              <w:pStyle w:val="TableContents"/>
              <w:bidi w:val="0"/>
              <w:spacing w:before="0" w:after="283"/>
              <w:jc w:val="left"/>
              <w:rPr/>
            </w:pPr>
            <w:r>
              <w:rPr/>
              <w:t> </w:t>
            </w:r>
          </w:p>
        </w:tc>
        <w:tc>
          <w:tcPr>
            <w:tcW w:w="2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231,443</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08" w:type="dxa"/>
            <w:tcBorders>
              <w:bottom w:val="double" w:sz="8" w:space="0" w:color="000000"/>
            </w:tcBorders>
            <w:tcMar>
              <w:bottom w:w="28" w:type="dxa"/>
            </w:tcMar>
            <w:vAlign w:val="center"/>
          </w:tcPr>
          <w:p>
            <w:pPr>
              <w:pStyle w:val="TableContents"/>
              <w:bidi w:val="0"/>
              <w:spacing w:before="0" w:after="283"/>
              <w:jc w:val="left"/>
              <w:rPr/>
            </w:pPr>
            <w:r>
              <w:rPr/>
              <w:t> </w:t>
            </w:r>
          </w:p>
        </w:tc>
        <w:tc>
          <w:tcPr>
            <w:tcW w:w="572" w:type="dxa"/>
            <w:tcBorders>
              <w:bottom w:val="double" w:sz="8" w:space="0" w:color="000000"/>
            </w:tcBorders>
            <w:tcMar>
              <w:bottom w:w="28" w:type="dxa"/>
            </w:tcMar>
            <w:vAlign w:val="center"/>
          </w:tcPr>
          <w:p>
            <w:pPr>
              <w:pStyle w:val="TableContents"/>
              <w:bidi w:val="0"/>
              <w:spacing w:before="0" w:after="283"/>
              <w:jc w:val="left"/>
              <w:rPr/>
            </w:pPr>
            <w:r>
              <w:rPr/>
              <w:t> </w:t>
            </w:r>
          </w:p>
        </w:tc>
        <w:tc>
          <w:tcPr>
            <w:tcW w:w="292"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Securities are shown at average amortized cost.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purposes of these computations, nonaccrual loans and loans held for sale are included in the average loan balances outstanding.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income for tax-exempt securities and loans have been adjusted to an FTE basis using the statutory Federal income tax rate of 21%.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tables present changes in interest income and interest expense attributable to changes in volume (change in average balance multiplied by prior year rate), changes in rate (change in rate multiplied by prior year volume) and the net change in net interest income. The net change attributable to the combined impact of volume and rate has been allocated to each in proportion to the absolute dollar amounts of change. </w:t>
      </w:r>
    </w:p>
    <w:p>
      <w:pPr>
        <w:pStyle w:val="TextBody"/>
        <w:bidi w:val="0"/>
        <w:spacing w:before="0" w:after="0"/>
        <w:jc w:val="both"/>
        <w:rPr/>
      </w:pPr>
      <w:r>
        <w:rPr/>
        <w:t xml:space="preserve">  </w:t>
      </w:r>
    </w:p>
    <w:tbl>
      <w:tblPr>
        <w:tblW w:w="8153" w:type="dxa"/>
        <w:jc w:val="left"/>
        <w:tblInd w:w="0" w:type="dxa"/>
        <w:tblLayout w:type="fixed"/>
        <w:tblCellMar>
          <w:top w:w="0" w:type="dxa"/>
          <w:left w:w="0" w:type="dxa"/>
          <w:bottom w:w="0" w:type="dxa"/>
          <w:right w:w="0" w:type="dxa"/>
        </w:tblCellMar>
      </w:tblPr>
      <w:tblGrid>
        <w:gridCol w:w="3470"/>
        <w:gridCol w:w="90"/>
        <w:gridCol w:w="174"/>
        <w:gridCol w:w="730"/>
        <w:gridCol w:w="185"/>
        <w:gridCol w:w="90"/>
        <w:gridCol w:w="413"/>
        <w:gridCol w:w="1616"/>
        <w:gridCol w:w="185"/>
        <w:gridCol w:w="90"/>
        <w:gridCol w:w="170"/>
        <w:gridCol w:w="710"/>
        <w:gridCol w:w="230"/>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b/>
              </w:rPr>
              <w:t>Three Months Ended June 30,</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 (Decrease)</w:t>
              <w:br/>
              <w:t xml:space="preserve">2026 over 2025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pPr>
            <w:r>
              <w:rPr>
                <w:b/>
              </w:rPr>
              <w:t>Volume</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pPr>
            <w:r>
              <w:rPr>
                <w:b/>
              </w:rPr>
              <w:t>Rate</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470" w:type="dxa"/>
            <w:tcBorders/>
            <w:shd w:fill="CCEEFF" w:val="clear"/>
            <w:vAlign w:val="center"/>
          </w:tcPr>
          <w:p>
            <w:pPr>
              <w:pStyle w:val="TableContents"/>
              <w:bidi w:val="0"/>
              <w:spacing w:before="0" w:after="283"/>
              <w:jc w:val="left"/>
              <w:rPr/>
            </w:pPr>
            <w:r>
              <w:rPr/>
              <w:t>Short-term interest-bearing accounts</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730" w:type="dxa"/>
            <w:tcBorders/>
            <w:shd w:fill="CCEEFF" w:val="clear"/>
            <w:vAlign w:val="center"/>
          </w:tcPr>
          <w:p>
            <w:pPr>
              <w:pStyle w:val="TableContents"/>
              <w:bidi w:val="0"/>
              <w:spacing w:before="0" w:after="283"/>
              <w:jc w:val="right"/>
              <w:rPr>
                <w:b/>
              </w:rPr>
            </w:pPr>
            <w:r>
              <w:rPr>
                <w:b/>
              </w:rPr>
              <w:t>961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b/>
              </w:rPr>
            </w:pPr>
            <w:r>
              <w:rPr>
                <w:b/>
              </w:rPr>
              <w:t>$</w:t>
            </w:r>
          </w:p>
        </w:tc>
        <w:tc>
          <w:tcPr>
            <w:tcW w:w="1616" w:type="dxa"/>
            <w:tcBorders/>
            <w:shd w:fill="CCEEFF" w:val="clear"/>
            <w:vAlign w:val="center"/>
          </w:tcPr>
          <w:p>
            <w:pPr>
              <w:pStyle w:val="TableContents"/>
              <w:bidi w:val="0"/>
              <w:spacing w:before="0" w:after="283"/>
              <w:jc w:val="right"/>
              <w:rPr>
                <w:b/>
              </w:rPr>
            </w:pPr>
            <w:r>
              <w:rPr>
                <w:b/>
              </w:rPr>
              <w:t>(492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469</w:t>
            </w:r>
          </w:p>
        </w:tc>
        <w:tc>
          <w:tcPr>
            <w:tcW w:w="23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ind w:left="0" w:right="0" w:hanging="144"/>
              <w:jc w:val="left"/>
              <w:rPr/>
            </w:pPr>
            <w:r>
              <w:rPr/>
              <w:t xml:space="preserve">Securities taxable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916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1,907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2,823</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Securities tax-exempt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(107</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(28</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(135</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vAlign w:val="center"/>
          </w:tcPr>
          <w:p>
            <w:pPr>
              <w:pStyle w:val="TableContents"/>
              <w:bidi w:val="0"/>
              <w:spacing w:before="0" w:after="0"/>
              <w:ind w:left="0" w:right="0" w:hanging="144"/>
              <w:jc w:val="left"/>
              <w:rPr/>
            </w:pPr>
            <w:r>
              <w:rPr/>
              <w:t xml:space="preserve">FRB and FHLB stock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146</w:t>
            </w:r>
          </w:p>
        </w:tc>
        <w:tc>
          <w:tcPr>
            <w:tcW w:w="230"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Loans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8,519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(3,679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4,840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t xml:space="preserve">Total FTE interest income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30" w:type="dxa"/>
            <w:tcBorders>
              <w:bottom w:val="single" w:sz="12" w:space="0" w:color="000000"/>
            </w:tcBorders>
            <w:tcMar>
              <w:bottom w:w="28" w:type="dxa"/>
            </w:tcMar>
            <w:vAlign w:val="center"/>
          </w:tcPr>
          <w:p>
            <w:pPr>
              <w:pStyle w:val="TableContents"/>
              <w:bidi w:val="0"/>
              <w:spacing w:before="0" w:after="283"/>
              <w:jc w:val="right"/>
              <w:rPr>
                <w:b/>
              </w:rPr>
            </w:pPr>
            <w:r>
              <w:rPr>
                <w:b/>
              </w:rPr>
              <w:t>10,381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616" w:type="dxa"/>
            <w:tcBorders>
              <w:bottom w:val="single" w:sz="12" w:space="0" w:color="000000"/>
            </w:tcBorders>
            <w:tcMar>
              <w:bottom w:w="28" w:type="dxa"/>
            </w:tcMar>
            <w:vAlign w:val="center"/>
          </w:tcPr>
          <w:p>
            <w:pPr>
              <w:pStyle w:val="TableContents"/>
              <w:bidi w:val="0"/>
              <w:spacing w:before="0" w:after="283"/>
              <w:jc w:val="right"/>
              <w:rPr>
                <w:b/>
              </w:rPr>
            </w:pPr>
            <w:r>
              <w:rPr>
                <w:b/>
              </w:rPr>
              <w:t>(2,238</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8,143</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Money market deposits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730" w:type="dxa"/>
            <w:tcBorders/>
            <w:shd w:fill="CCEEFF" w:val="clear"/>
            <w:vAlign w:val="center"/>
          </w:tcPr>
          <w:p>
            <w:pPr>
              <w:pStyle w:val="TableContents"/>
              <w:bidi w:val="0"/>
              <w:spacing w:before="0" w:after="283"/>
              <w:jc w:val="right"/>
              <w:rPr>
                <w:b/>
              </w:rPr>
            </w:pPr>
            <w:r>
              <w:rPr>
                <w:b/>
              </w:rPr>
              <w:t>3,273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b/>
              </w:rPr>
            </w:pPr>
            <w:r>
              <w:rPr>
                <w:b/>
              </w:rPr>
              <w:t>$</w:t>
            </w:r>
          </w:p>
        </w:tc>
        <w:tc>
          <w:tcPr>
            <w:tcW w:w="1616" w:type="dxa"/>
            <w:tcBorders/>
            <w:shd w:fill="CCEEFF" w:val="clear"/>
            <w:vAlign w:val="center"/>
          </w:tcPr>
          <w:p>
            <w:pPr>
              <w:pStyle w:val="TableContents"/>
              <w:bidi w:val="0"/>
              <w:spacing w:before="0" w:after="283"/>
              <w:jc w:val="right"/>
              <w:rPr>
                <w:b/>
              </w:rPr>
            </w:pPr>
            <w:r>
              <w:rPr>
                <w:b/>
              </w:rPr>
              <w:t>(3,679</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(406</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vAlign w:val="center"/>
          </w:tcPr>
          <w:p>
            <w:pPr>
              <w:pStyle w:val="TableContents"/>
              <w:bidi w:val="0"/>
              <w:spacing w:before="0" w:after="0"/>
              <w:ind w:left="0" w:right="0" w:hanging="144"/>
              <w:jc w:val="left"/>
              <w:rPr/>
            </w:pPr>
            <w:r>
              <w:rPr/>
              <w:t xml:space="preserve">Interest-bearing checking deposits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542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188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730</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Savings deposits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153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582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735</w:t>
            </w:r>
          </w:p>
        </w:tc>
        <w:tc>
          <w:tcPr>
            <w:tcW w:w="23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ind w:left="0" w:right="0" w:hanging="144"/>
              <w:jc w:val="left"/>
              <w:rPr/>
            </w:pPr>
            <w:r>
              <w:rPr/>
              <w:t xml:space="preserve">Time deposits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(1,912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(2,487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(4,399</w:t>
            </w:r>
          </w:p>
        </w:tc>
        <w:tc>
          <w:tcPr>
            <w:tcW w:w="230" w:type="dxa"/>
            <w:tcBorders/>
            <w:vAlign w:val="center"/>
          </w:tcPr>
          <w:p>
            <w:pPr>
              <w:pStyle w:val="TableContents"/>
              <w:bidi w:val="0"/>
              <w:spacing w:before="0" w:after="283"/>
              <w:jc w:val="left"/>
              <w:rPr>
                <w:b/>
              </w:rPr>
            </w:pPr>
            <w:r>
              <w:rPr>
                <w:b/>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Federal funds purchased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(29</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(17</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vAlign w:val="center"/>
          </w:tcPr>
          <w:p>
            <w:pPr>
              <w:pStyle w:val="TableContents"/>
              <w:bidi w:val="0"/>
              <w:spacing w:before="0" w:after="0"/>
              <w:ind w:left="0" w:right="0" w:hanging="144"/>
              <w:jc w:val="left"/>
              <w:rPr/>
            </w:pPr>
            <w:r>
              <w:rPr/>
              <w:t xml:space="preserve">Repurchase agreements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144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151</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Short-term borrowings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(52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(15</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vAlign w:val="center"/>
          </w:tcPr>
          <w:p>
            <w:pPr>
              <w:pStyle w:val="TableContents"/>
              <w:bidi w:val="0"/>
              <w:spacing w:before="0" w:after="0"/>
              <w:ind w:left="0" w:right="0" w:hanging="144"/>
              <w:jc w:val="left"/>
              <w:rPr/>
            </w:pPr>
            <w:r>
              <w:rPr/>
              <w:t xml:space="preserve">Long-term debt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126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149</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Subordinated debt, net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(2,258</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868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(1,390</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Junior subordinated debt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b/>
              </w:rPr>
            </w:pPr>
            <w:r>
              <w:rPr>
                <w:b/>
              </w:rPr>
              <w:t>61</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16" w:type="dxa"/>
            <w:tcBorders>
              <w:bottom w:val="single" w:sz="12" w:space="0" w:color="000000"/>
            </w:tcBorders>
            <w:tcMar>
              <w:bottom w:w="28" w:type="dxa"/>
            </w:tcMar>
            <w:vAlign w:val="center"/>
          </w:tcPr>
          <w:p>
            <w:pPr>
              <w:pStyle w:val="TableContents"/>
              <w:bidi w:val="0"/>
              <w:spacing w:before="0" w:after="283"/>
              <w:jc w:val="right"/>
              <w:rPr>
                <w:b/>
              </w:rPr>
            </w:pPr>
            <w:r>
              <w:rPr>
                <w:b/>
              </w:rPr>
              <w:t>(158</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(97</w:t>
            </w:r>
          </w:p>
        </w:tc>
        <w:tc>
          <w:tcPr>
            <w:tcW w:w="230" w:type="dxa"/>
            <w:tcBorders>
              <w:bottom w:val="single" w:sz="12" w:space="0" w:color="000000"/>
            </w:tcBorders>
            <w:tcMar>
              <w:bottom w:w="28" w:type="dxa"/>
            </w:tcMar>
            <w:vAlign w:val="center"/>
          </w:tcPr>
          <w:p>
            <w:pPr>
              <w:pStyle w:val="TableContents"/>
              <w:bidi w:val="0"/>
              <w:spacing w:before="0" w:after="283"/>
              <w:jc w:val="left"/>
              <w:rPr>
                <w:b/>
              </w:rPr>
            </w:pPr>
            <w:r>
              <w:rPr>
                <w:b/>
              </w:rPr>
              <w:t>) </w:t>
            </w:r>
          </w:p>
        </w:tc>
      </w:tr>
      <w:tr>
        <w:trPr/>
        <w:tc>
          <w:tcPr>
            <w:tcW w:w="347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FTE interest expense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6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(4,737</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(4,559</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3470" w:type="dxa"/>
            <w:tcBorders>
              <w:bottom w:val="double" w:sz="8" w:space="0" w:color="000000"/>
            </w:tcBorders>
            <w:tcMar>
              <w:bottom w:w="28" w:type="dxa"/>
            </w:tcMar>
            <w:vAlign w:val="center"/>
          </w:tcPr>
          <w:p>
            <w:pPr>
              <w:pStyle w:val="TableContents"/>
              <w:bidi w:val="0"/>
              <w:spacing w:before="0" w:after="0"/>
              <w:jc w:val="left"/>
              <w:rPr/>
            </w:pPr>
            <w:r>
              <w:rPr/>
              <w:t xml:space="preserve">Change in FTE net interest income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4"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730" w:type="dxa"/>
            <w:tcBorders>
              <w:bottom w:val="double" w:sz="8" w:space="0" w:color="000000"/>
            </w:tcBorders>
            <w:tcMar>
              <w:bottom w:w="28" w:type="dxa"/>
            </w:tcMar>
            <w:vAlign w:val="center"/>
          </w:tcPr>
          <w:p>
            <w:pPr>
              <w:pStyle w:val="TableContents"/>
              <w:bidi w:val="0"/>
              <w:spacing w:before="0" w:after="283"/>
              <w:jc w:val="right"/>
              <w:rPr>
                <w:b/>
              </w:rPr>
            </w:pPr>
            <w:r>
              <w:rPr>
                <w:b/>
              </w:rPr>
              <w:t>10,203</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413"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616" w:type="dxa"/>
            <w:tcBorders>
              <w:bottom w:val="double" w:sz="8" w:space="0" w:color="000000"/>
            </w:tcBorders>
            <w:tcMar>
              <w:bottom w:w="28" w:type="dxa"/>
            </w:tcMar>
            <w:vAlign w:val="center"/>
          </w:tcPr>
          <w:p>
            <w:pPr>
              <w:pStyle w:val="TableContents"/>
              <w:bidi w:val="0"/>
              <w:spacing w:before="0" w:after="283"/>
              <w:jc w:val="right"/>
              <w:rPr>
                <w:b/>
              </w:rPr>
            </w:pPr>
            <w:r>
              <w:rPr>
                <w:b/>
              </w:rPr>
              <w:t>2,499</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8" w:space="0" w:color="000000"/>
            </w:tcBorders>
            <w:tcMar>
              <w:bottom w:w="28" w:type="dxa"/>
            </w:tcMar>
            <w:vAlign w:val="center"/>
          </w:tcPr>
          <w:p>
            <w:pPr>
              <w:pStyle w:val="TableContents"/>
              <w:bidi w:val="0"/>
              <w:spacing w:before="0" w:after="283"/>
              <w:jc w:val="right"/>
              <w:rPr>
                <w:b/>
              </w:rPr>
            </w:pPr>
            <w:r>
              <w:rPr>
                <w:b/>
              </w:rPr>
              <w:t>12,702</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tbl>
      <w:tblPr>
        <w:tblW w:w="8153" w:type="dxa"/>
        <w:jc w:val="left"/>
        <w:tblInd w:w="0" w:type="dxa"/>
        <w:tblLayout w:type="fixed"/>
        <w:tblCellMar>
          <w:top w:w="0" w:type="dxa"/>
          <w:left w:w="0" w:type="dxa"/>
          <w:bottom w:w="0" w:type="dxa"/>
          <w:right w:w="0" w:type="dxa"/>
        </w:tblCellMar>
      </w:tblPr>
      <w:tblGrid>
        <w:gridCol w:w="3470"/>
        <w:gridCol w:w="90"/>
        <w:gridCol w:w="174"/>
        <w:gridCol w:w="730"/>
        <w:gridCol w:w="185"/>
        <w:gridCol w:w="90"/>
        <w:gridCol w:w="413"/>
        <w:gridCol w:w="1616"/>
        <w:gridCol w:w="185"/>
        <w:gridCol w:w="90"/>
        <w:gridCol w:w="170"/>
        <w:gridCol w:w="710"/>
        <w:gridCol w:w="230"/>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b/>
              </w:rPr>
              <w:t>Six Months Ended June 30,</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pPr>
            <w:r>
              <w:rPr>
                <w:b/>
              </w:rPr>
              <w:t>Increase (Decrease)</w:t>
              <w:br/>
              <w:t>2026 over 2025</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pPr>
            <w:r>
              <w:rPr>
                <w:b/>
              </w:rPr>
              <w:t>Volume</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pPr>
            <w:r>
              <w:rPr>
                <w:b/>
              </w:rPr>
              <w:t>Rate</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Total</w:t>
            </w:r>
            <w:r>
              <w:rPr/>
              <w:t xml:space="preserve"> </w:t>
            </w:r>
          </w:p>
        </w:tc>
        <w:tc>
          <w:tcPr>
            <w:tcW w:w="23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470" w:type="dxa"/>
            <w:tcBorders/>
            <w:shd w:fill="CCEEFF" w:val="clear"/>
            <w:vAlign w:val="center"/>
          </w:tcPr>
          <w:p>
            <w:pPr>
              <w:pStyle w:val="TableContents"/>
              <w:bidi w:val="0"/>
              <w:spacing w:before="0" w:after="283"/>
              <w:jc w:val="left"/>
              <w:rPr>
                <w:spacing w:val="0"/>
              </w:rPr>
            </w:pPr>
            <w:r>
              <w:rPr>
                <w:spacing w:val="0"/>
              </w:rPr>
              <w:t>Short-term interest-bearing accounts</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730" w:type="dxa"/>
            <w:tcBorders/>
            <w:shd w:fill="CCEEFF" w:val="clear"/>
            <w:vAlign w:val="center"/>
          </w:tcPr>
          <w:p>
            <w:pPr>
              <w:pStyle w:val="TableContents"/>
              <w:bidi w:val="0"/>
              <w:spacing w:before="0" w:after="283"/>
              <w:jc w:val="right"/>
              <w:rPr>
                <w:b/>
              </w:rPr>
            </w:pPr>
            <w:r>
              <w:rPr>
                <w:b/>
              </w:rPr>
              <w:t>3,559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b/>
              </w:rPr>
            </w:pPr>
            <w:r>
              <w:rPr>
                <w:b/>
              </w:rPr>
              <w:t>$</w:t>
            </w:r>
          </w:p>
        </w:tc>
        <w:tc>
          <w:tcPr>
            <w:tcW w:w="1616" w:type="dxa"/>
            <w:tcBorders/>
            <w:shd w:fill="CCEEFF" w:val="clear"/>
            <w:vAlign w:val="center"/>
          </w:tcPr>
          <w:p>
            <w:pPr>
              <w:pStyle w:val="TableContents"/>
              <w:bidi w:val="0"/>
              <w:spacing w:before="0" w:after="283"/>
              <w:jc w:val="right"/>
              <w:rPr>
                <w:b/>
              </w:rPr>
            </w:pPr>
            <w:r>
              <w:rPr>
                <w:b/>
              </w:rPr>
              <w:t>(666</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2,893</w:t>
            </w:r>
          </w:p>
        </w:tc>
        <w:tc>
          <w:tcPr>
            <w:tcW w:w="23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ind w:left="0" w:right="0" w:hanging="144"/>
              <w:jc w:val="left"/>
              <w:rPr/>
            </w:pPr>
            <w:r>
              <w:rPr/>
              <w:t xml:space="preserve">Securities taxable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1,775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3,891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5,666</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Securities tax-exempt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(354</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(16</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(370</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vAlign w:val="center"/>
          </w:tcPr>
          <w:p>
            <w:pPr>
              <w:pStyle w:val="TableContents"/>
              <w:bidi w:val="0"/>
              <w:spacing w:before="0" w:after="0"/>
              <w:ind w:left="0" w:right="0" w:hanging="144"/>
              <w:jc w:val="left"/>
              <w:rPr/>
            </w:pPr>
            <w:r>
              <w:rPr/>
              <w:t xml:space="preserve">FRB and FHLB stock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242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258</w:t>
            </w:r>
          </w:p>
        </w:tc>
        <w:tc>
          <w:tcPr>
            <w:tcW w:w="230" w:type="dxa"/>
            <w:tcBorders/>
            <w:vAlign w:val="center"/>
          </w:tcPr>
          <w:p>
            <w:pPr>
              <w:pStyle w:val="TableContents"/>
              <w:bidi w:val="0"/>
              <w:spacing w:before="0" w:after="283"/>
              <w:jc w:val="left"/>
              <w:rPr/>
            </w:pPr>
            <w:r>
              <w:rPr/>
              <w:t> </w:t>
            </w:r>
          </w:p>
        </w:tc>
      </w:tr>
      <w:tr>
        <w:trPr/>
        <w:tc>
          <w:tcPr>
            <w:tcW w:w="347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Loans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30,400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27,880</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3470" w:type="dxa"/>
            <w:tcBorders>
              <w:bottom w:val="single" w:sz="12" w:space="0" w:color="000000"/>
            </w:tcBorders>
            <w:tcMar>
              <w:bottom w:w="28" w:type="dxa"/>
            </w:tcMar>
            <w:vAlign w:val="center"/>
          </w:tcPr>
          <w:p>
            <w:pPr>
              <w:pStyle w:val="TableContents"/>
              <w:bidi w:val="0"/>
              <w:spacing w:before="0" w:after="0"/>
              <w:jc w:val="left"/>
              <w:rPr/>
            </w:pPr>
            <w:r>
              <w:rPr/>
              <w:t xml:space="preserve">Total FTE interest income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30" w:type="dxa"/>
            <w:tcBorders>
              <w:bottom w:val="single" w:sz="12" w:space="0" w:color="000000"/>
            </w:tcBorders>
            <w:tcMar>
              <w:bottom w:w="28" w:type="dxa"/>
            </w:tcMar>
            <w:vAlign w:val="center"/>
          </w:tcPr>
          <w:p>
            <w:pPr>
              <w:pStyle w:val="TableContents"/>
              <w:bidi w:val="0"/>
              <w:spacing w:before="0" w:after="283"/>
              <w:jc w:val="right"/>
              <w:rPr>
                <w:b/>
              </w:rPr>
            </w:pPr>
            <w:r>
              <w:rPr>
                <w:b/>
              </w:rPr>
              <w:t>35,622</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616" w:type="dxa"/>
            <w:tcBorders>
              <w:bottom w:val="single" w:sz="12" w:space="0" w:color="000000"/>
            </w:tcBorders>
            <w:tcMar>
              <w:bottom w:w="28" w:type="dxa"/>
            </w:tcMar>
            <w:vAlign w:val="center"/>
          </w:tcPr>
          <w:p>
            <w:pPr>
              <w:pStyle w:val="TableContents"/>
              <w:bidi w:val="0"/>
              <w:spacing w:before="0" w:after="283"/>
              <w:jc w:val="right"/>
              <w:rPr>
                <w:b/>
              </w:rPr>
            </w:pPr>
            <w:r>
              <w:rPr>
                <w:b/>
              </w:rPr>
              <w:t>705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36,327</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Money market deposits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730" w:type="dxa"/>
            <w:tcBorders/>
            <w:shd w:fill="CCEEFF" w:val="clear"/>
            <w:vAlign w:val="center"/>
          </w:tcPr>
          <w:p>
            <w:pPr>
              <w:pStyle w:val="TableContents"/>
              <w:bidi w:val="0"/>
              <w:spacing w:before="0" w:after="283"/>
              <w:jc w:val="right"/>
              <w:rPr>
                <w:b/>
              </w:rPr>
            </w:pPr>
            <w:r>
              <w:rPr>
                <w:b/>
              </w:rPr>
              <w:t>8,046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b/>
              </w:rPr>
            </w:pPr>
            <w:r>
              <w:rPr>
                <w:b/>
              </w:rPr>
              <w:t>$</w:t>
            </w:r>
          </w:p>
        </w:tc>
        <w:tc>
          <w:tcPr>
            <w:tcW w:w="1616" w:type="dxa"/>
            <w:tcBorders/>
            <w:shd w:fill="CCEEFF" w:val="clear"/>
            <w:vAlign w:val="center"/>
          </w:tcPr>
          <w:p>
            <w:pPr>
              <w:pStyle w:val="TableContents"/>
              <w:bidi w:val="0"/>
              <w:spacing w:before="0" w:after="283"/>
              <w:jc w:val="right"/>
              <w:rPr>
                <w:b/>
              </w:rPr>
            </w:pPr>
            <w:r>
              <w:rPr>
                <w:b/>
              </w:rPr>
              <w:t>(7,425</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621</w:t>
            </w:r>
          </w:p>
        </w:tc>
        <w:tc>
          <w:tcPr>
            <w:tcW w:w="23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ind w:left="0" w:right="0" w:hanging="144"/>
              <w:jc w:val="left"/>
              <w:rPr/>
            </w:pPr>
            <w:r>
              <w:rPr/>
              <w:t xml:space="preserve">Interest-bearing checking deposits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1,583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1,106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2,689</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Savings deposits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326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2,226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2,552</w:t>
            </w:r>
          </w:p>
        </w:tc>
        <w:tc>
          <w:tcPr>
            <w:tcW w:w="23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ind w:left="0" w:right="0" w:hanging="144"/>
              <w:jc w:val="left"/>
              <w:rPr/>
            </w:pPr>
            <w:r>
              <w:rPr/>
              <w:t xml:space="preserve">Time deposits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(1,994</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(4,961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(6,955</w:t>
            </w:r>
          </w:p>
        </w:tc>
        <w:tc>
          <w:tcPr>
            <w:tcW w:w="230" w:type="dxa"/>
            <w:tcBorders/>
            <w:vAlign w:val="center"/>
          </w:tcPr>
          <w:p>
            <w:pPr>
              <w:pStyle w:val="TableContents"/>
              <w:bidi w:val="0"/>
              <w:spacing w:before="0" w:after="283"/>
              <w:jc w:val="left"/>
              <w:rPr>
                <w:b/>
              </w:rPr>
            </w:pPr>
            <w:r>
              <w:rPr>
                <w:b/>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Federal funds purchased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(12</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(30</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(42</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vAlign w:val="center"/>
          </w:tcPr>
          <w:p>
            <w:pPr>
              <w:pStyle w:val="TableContents"/>
              <w:bidi w:val="0"/>
              <w:spacing w:before="0" w:after="0"/>
              <w:ind w:left="0" w:right="0" w:hanging="144"/>
              <w:jc w:val="left"/>
              <w:rPr/>
            </w:pPr>
            <w:r>
              <w:rPr/>
              <w:t xml:space="preserve">Repurchase agreements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267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(55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212</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Short-term borrowings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(38</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(57</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(95</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vAlign w:val="center"/>
          </w:tcPr>
          <w:p>
            <w:pPr>
              <w:pStyle w:val="TableContents"/>
              <w:bidi w:val="0"/>
              <w:spacing w:before="0" w:after="0"/>
              <w:ind w:left="0" w:right="0" w:hanging="144"/>
              <w:jc w:val="left"/>
              <w:rPr/>
            </w:pPr>
            <w:r>
              <w:rPr/>
              <w:t xml:space="preserve">Long-term debt </w:t>
            </w:r>
          </w:p>
        </w:tc>
        <w:tc>
          <w:tcPr>
            <w:tcW w:w="9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b/>
              </w:rPr>
            </w:pPr>
            <w:r>
              <w:rPr>
                <w:b/>
              </w:rPr>
              <w:t>284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3"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b/>
              </w:rPr>
            </w:pPr>
            <w:r>
              <w:rPr>
                <w:b/>
              </w:rPr>
              <w:t>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b/>
              </w:rPr>
            </w:pPr>
            <w:r>
              <w:rPr>
                <w:b/>
              </w:rPr>
              <w:t>324</w:t>
            </w:r>
          </w:p>
        </w:tc>
        <w:tc>
          <w:tcPr>
            <w:tcW w:w="23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144"/>
              <w:jc w:val="left"/>
              <w:rPr/>
            </w:pPr>
            <w:r>
              <w:rPr/>
              <w:t xml:space="preserve">Subordinated debt, net </w:t>
            </w:r>
          </w:p>
        </w:tc>
        <w:tc>
          <w:tcPr>
            <w:tcW w:w="9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rPr>
            </w:pPr>
            <w:r>
              <w:rPr>
                <w:b/>
              </w:rPr>
              <w:t>(4,089</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right"/>
              <w:rPr/>
            </w:pPr>
            <w:r>
              <w:rPr/>
              <w:t> </w:t>
            </w:r>
          </w:p>
        </w:tc>
        <w:tc>
          <w:tcPr>
            <w:tcW w:w="413"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b/>
              </w:rPr>
            </w:pPr>
            <w:r>
              <w:rPr>
                <w:b/>
              </w:rPr>
              <w:t>1,387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(2,702</w:t>
            </w:r>
          </w:p>
        </w:tc>
        <w:tc>
          <w:tcPr>
            <w:tcW w:w="230" w:type="dxa"/>
            <w:tcBorders/>
            <w:shd w:fill="CCEEFF" w:val="clear"/>
            <w:vAlign w:val="center"/>
          </w:tcPr>
          <w:p>
            <w:pPr>
              <w:pStyle w:val="TableContents"/>
              <w:bidi w:val="0"/>
              <w:spacing w:before="0" w:after="283"/>
              <w:jc w:val="left"/>
              <w:rPr>
                <w:b/>
              </w:rPr>
            </w:pPr>
            <w:r>
              <w:rPr>
                <w:b/>
              </w:rPr>
              <w:t>) </w:t>
            </w:r>
          </w:p>
        </w:tc>
      </w:tr>
      <w:tr>
        <w:trPr/>
        <w:tc>
          <w:tcPr>
            <w:tcW w:w="347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Junior subordinated debt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b/>
              </w:rPr>
            </w:pPr>
            <w:r>
              <w:rPr>
                <w:b/>
              </w:rPr>
              <w:t>225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16" w:type="dxa"/>
            <w:tcBorders>
              <w:bottom w:val="single" w:sz="12" w:space="0" w:color="000000"/>
            </w:tcBorders>
            <w:tcMar>
              <w:bottom w:w="28" w:type="dxa"/>
            </w:tcMar>
            <w:vAlign w:val="center"/>
          </w:tcPr>
          <w:p>
            <w:pPr>
              <w:pStyle w:val="TableContents"/>
              <w:bidi w:val="0"/>
              <w:spacing w:before="0" w:after="283"/>
              <w:jc w:val="right"/>
              <w:rPr>
                <w:b/>
              </w:rPr>
            </w:pPr>
            <w:r>
              <w:rPr>
                <w:b/>
              </w:rPr>
              <w:t>(271</w:t>
            </w:r>
          </w:p>
        </w:tc>
        <w:tc>
          <w:tcPr>
            <w:tcW w:w="185" w:type="dxa"/>
            <w:tcBorders>
              <w:bottom w:val="single" w:sz="12" w:space="0" w:color="000000"/>
            </w:tcBorders>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(46</w:t>
            </w:r>
          </w:p>
        </w:tc>
        <w:tc>
          <w:tcPr>
            <w:tcW w:w="230" w:type="dxa"/>
            <w:tcBorders>
              <w:bottom w:val="single" w:sz="12" w:space="0" w:color="000000"/>
            </w:tcBorders>
            <w:tcMar>
              <w:bottom w:w="28" w:type="dxa"/>
            </w:tcMar>
            <w:vAlign w:val="center"/>
          </w:tcPr>
          <w:p>
            <w:pPr>
              <w:pStyle w:val="TableContents"/>
              <w:bidi w:val="0"/>
              <w:spacing w:before="0" w:after="283"/>
              <w:jc w:val="left"/>
              <w:rPr>
                <w:b/>
              </w:rPr>
            </w:pPr>
            <w:r>
              <w:rPr>
                <w:b/>
              </w:rPr>
              <w:t>) </w:t>
            </w:r>
          </w:p>
        </w:tc>
      </w:tr>
      <w:tr>
        <w:trPr/>
        <w:tc>
          <w:tcPr>
            <w:tcW w:w="347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Total FTE interest expense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4,598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1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6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(8,040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(3,442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 </w:t>
            </w:r>
          </w:p>
        </w:tc>
      </w:tr>
      <w:tr>
        <w:trPr/>
        <w:tc>
          <w:tcPr>
            <w:tcW w:w="3470" w:type="dxa"/>
            <w:tcBorders>
              <w:bottom w:val="double" w:sz="8" w:space="0" w:color="000000"/>
            </w:tcBorders>
            <w:tcMar>
              <w:bottom w:w="28" w:type="dxa"/>
            </w:tcMar>
            <w:vAlign w:val="center"/>
          </w:tcPr>
          <w:p>
            <w:pPr>
              <w:pStyle w:val="TableContents"/>
              <w:bidi w:val="0"/>
              <w:spacing w:before="0" w:after="0"/>
              <w:jc w:val="left"/>
              <w:rPr/>
            </w:pPr>
            <w:r>
              <w:rPr/>
              <w:t xml:space="preserve">Change in net FTE interest income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4"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730" w:type="dxa"/>
            <w:tcBorders>
              <w:bottom w:val="double" w:sz="8" w:space="0" w:color="000000"/>
            </w:tcBorders>
            <w:tcMar>
              <w:bottom w:w="28" w:type="dxa"/>
            </w:tcMar>
            <w:vAlign w:val="center"/>
          </w:tcPr>
          <w:p>
            <w:pPr>
              <w:pStyle w:val="TableContents"/>
              <w:bidi w:val="0"/>
              <w:spacing w:before="0" w:after="283"/>
              <w:jc w:val="right"/>
              <w:rPr>
                <w:b/>
              </w:rPr>
            </w:pPr>
            <w:r>
              <w:rPr>
                <w:b/>
              </w:rPr>
              <w:t>31,024</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413"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616" w:type="dxa"/>
            <w:tcBorders>
              <w:bottom w:val="double" w:sz="8" w:space="0" w:color="000000"/>
            </w:tcBorders>
            <w:tcMar>
              <w:bottom w:w="28" w:type="dxa"/>
            </w:tcMar>
            <w:vAlign w:val="center"/>
          </w:tcPr>
          <w:p>
            <w:pPr>
              <w:pStyle w:val="TableContents"/>
              <w:bidi w:val="0"/>
              <w:spacing w:before="0" w:after="283"/>
              <w:jc w:val="right"/>
              <w:rPr>
                <w:b/>
              </w:rPr>
            </w:pPr>
            <w:r>
              <w:rPr>
                <w:b/>
              </w:rPr>
              <w:t>8,745</w:t>
            </w:r>
          </w:p>
        </w:tc>
        <w:tc>
          <w:tcPr>
            <w:tcW w:w="185"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8" w:space="0" w:color="000000"/>
            </w:tcBorders>
            <w:tcMar>
              <w:bottom w:w="28" w:type="dxa"/>
            </w:tcMar>
            <w:vAlign w:val="center"/>
          </w:tcPr>
          <w:p>
            <w:pPr>
              <w:pStyle w:val="TableContents"/>
              <w:bidi w:val="0"/>
              <w:spacing w:before="0" w:after="283"/>
              <w:jc w:val="right"/>
              <w:rPr>
                <w:b/>
              </w:rPr>
            </w:pPr>
            <w:r>
              <w:rPr>
                <w:b/>
              </w:rPr>
              <w:t>39,769</w:t>
            </w:r>
          </w:p>
        </w:tc>
        <w:tc>
          <w:tcPr>
            <w:tcW w:w="230"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Noninterest Income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Noninterest income is a significant source of revenue for the Company and an important factor in the Company’s results of operations. The following table sets forth information by category of noninterest income for the periods indicated: </w:t>
      </w:r>
    </w:p>
    <w:p>
      <w:pPr>
        <w:pStyle w:val="TextBody"/>
        <w:bidi w:val="0"/>
        <w:spacing w:before="0" w:after="0"/>
        <w:jc w:val="left"/>
        <w:rPr/>
      </w:pPr>
      <w:r>
        <w:rPr/>
        <w:t xml:space="preserve">  </w:t>
      </w:r>
    </w:p>
    <w:tbl>
      <w:tblPr>
        <w:tblW w:w="9434" w:type="dxa"/>
        <w:jc w:val="left"/>
        <w:tblInd w:w="0" w:type="dxa"/>
        <w:tblLayout w:type="fixed"/>
        <w:tblCellMar>
          <w:top w:w="0" w:type="dxa"/>
          <w:left w:w="0" w:type="dxa"/>
          <w:bottom w:w="0" w:type="dxa"/>
          <w:right w:w="0" w:type="dxa"/>
        </w:tblCellMar>
      </w:tblPr>
      <w:tblGrid>
        <w:gridCol w:w="3530"/>
        <w:gridCol w:w="90"/>
        <w:gridCol w:w="186"/>
        <w:gridCol w:w="778"/>
        <w:gridCol w:w="90"/>
        <w:gridCol w:w="90"/>
        <w:gridCol w:w="212"/>
        <w:gridCol w:w="887"/>
        <w:gridCol w:w="90"/>
        <w:gridCol w:w="90"/>
        <w:gridCol w:w="186"/>
        <w:gridCol w:w="778"/>
        <w:gridCol w:w="90"/>
        <w:gridCol w:w="90"/>
        <w:gridCol w:w="186"/>
        <w:gridCol w:w="778"/>
        <w:gridCol w:w="92"/>
        <w:gridCol w:w="92"/>
        <w:gridCol w:w="186"/>
        <w:gridCol w:w="778"/>
        <w:gridCol w:w="135"/>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387" w:type="dxa"/>
            <w:gridSpan w:val="10"/>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r>
          </w:p>
        </w:tc>
        <w:tc>
          <w:tcPr>
            <w:tcW w:w="2112"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 Ended</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530" w:type="dxa"/>
            <w:tcBorders>
              <w:bottom w:val="single" w:sz="12" w:space="0" w:color="000000"/>
            </w:tcBorders>
            <w:tcMar>
              <w:bottom w:w="28" w:type="dxa"/>
            </w:tcMar>
            <w:vAlign w:val="center"/>
          </w:tcPr>
          <w:p>
            <w:pPr>
              <w:pStyle w:val="TableContents"/>
              <w:bidi w:val="0"/>
              <w:spacing w:before="0" w:after="0"/>
              <w:ind w:left="144" w:right="0" w:hanging="0"/>
              <w:jc w:val="left"/>
              <w:rPr/>
            </w:pPr>
            <w:r>
              <w:rPr/>
              <w:t xml:space="preserve">  </w:t>
            </w:r>
          </w:p>
          <w:p>
            <w:pPr>
              <w:pStyle w:val="TableContents"/>
              <w:bidi w:val="0"/>
              <w:spacing w:before="0" w:after="0"/>
              <w:ind w:left="0" w:right="0" w:hanging="144"/>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br/>
              <w:t>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2025</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2026</w:t>
            </w:r>
            <w:r>
              <w:rPr/>
              <w:t xml:space="preserve">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June 30, </w:t>
              <w:br/>
              <w:t>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Service charges on deposit accounts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b/>
              </w:rPr>
            </w:pPr>
            <w:r>
              <w:rPr>
                <w:b/>
              </w:rPr>
              <w:t>$</w:t>
            </w:r>
          </w:p>
        </w:tc>
        <w:tc>
          <w:tcPr>
            <w:tcW w:w="778" w:type="dxa"/>
            <w:tcBorders/>
            <w:shd w:fill="CCEEFF" w:val="clear"/>
            <w:vAlign w:val="center"/>
          </w:tcPr>
          <w:p>
            <w:pPr>
              <w:pStyle w:val="TableContents"/>
              <w:bidi w:val="0"/>
              <w:spacing w:before="0" w:after="283"/>
              <w:jc w:val="right"/>
              <w:rPr>
                <w:b/>
              </w:rPr>
            </w:pPr>
            <w:r>
              <w:rPr>
                <w:b/>
              </w:rPr>
              <w:t>5,194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5,268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4,578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b/>
              </w:rPr>
            </w:pPr>
            <w:r>
              <w:rPr>
                <w:b/>
              </w:rPr>
              <w:t>$</w:t>
            </w:r>
          </w:p>
        </w:tc>
        <w:tc>
          <w:tcPr>
            <w:tcW w:w="778" w:type="dxa"/>
            <w:tcBorders/>
            <w:shd w:fill="CCEEFF" w:val="clear"/>
            <w:vAlign w:val="center"/>
          </w:tcPr>
          <w:p>
            <w:pPr>
              <w:pStyle w:val="TableContents"/>
              <w:bidi w:val="0"/>
              <w:spacing w:before="0" w:after="283"/>
              <w:jc w:val="right"/>
              <w:rPr>
                <w:b/>
              </w:rPr>
            </w:pPr>
            <w:r>
              <w:rPr>
                <w:b/>
              </w:rPr>
              <w:t>10,462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8,821</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Card services income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b/>
              </w:rPr>
            </w:pPr>
            <w:r>
              <w:rPr>
                <w:b/>
              </w:rPr>
              <w:t>6,613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6,028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6,077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b/>
              </w:rPr>
            </w:pPr>
            <w:r>
              <w:rPr>
                <w:b/>
              </w:rPr>
              <w:t>12,641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11,394</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Retirement plan administration fees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16,928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15,710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33,494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31,568</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Wealth management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b/>
              </w:rPr>
            </w:pPr>
            <w:r>
              <w:rPr>
                <w:b/>
              </w:rPr>
              <w:t>10,948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11,134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10,678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b/>
              </w:rPr>
            </w:pPr>
            <w:r>
              <w:rPr>
                <w:b/>
              </w:rPr>
              <w:t>22,082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21,624</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Insurance services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4,177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4,097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8,659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8,858</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ind w:left="0" w:right="0" w:hanging="144"/>
              <w:jc w:val="left"/>
              <w:rPr/>
            </w:pPr>
            <w:r>
              <w:rPr/>
              <w:t xml:space="preserve">Bank owned life insurance income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b/>
              </w:rPr>
            </w:pPr>
            <w:r>
              <w:rPr>
                <w:b/>
              </w:rPr>
              <w:t>2,505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2,659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2,180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b/>
              </w:rPr>
            </w:pPr>
            <w:r>
              <w:rPr>
                <w:b/>
              </w:rPr>
              <w:t>5,164</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5,577</w:t>
            </w:r>
          </w:p>
        </w:tc>
        <w:tc>
          <w:tcPr>
            <w:tcW w:w="13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144"/>
              <w:jc w:val="left"/>
              <w:rPr/>
            </w:pPr>
            <w:r>
              <w:rPr/>
              <w:t xml:space="preserve">Net securities gains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175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112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617</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8</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283"/>
              <w:jc w:val="right"/>
              <w:rPr>
                <w:b/>
              </w:rPr>
            </w:pPr>
            <w:r>
              <w:rPr>
                <w:b/>
              </w:rPr>
              <w:t>3,187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pPr>
            <w:r>
              <w:rPr/>
              <w:t>3,557</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283"/>
              <w:jc w:val="right"/>
              <w:rPr/>
            </w:pPr>
            <w:r>
              <w:rPr/>
              <w:t>3,500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283"/>
              <w:jc w:val="right"/>
              <w:rPr>
                <w:b/>
              </w:rPr>
            </w:pPr>
            <w:r>
              <w:rPr>
                <w:b/>
              </w:rPr>
              <w:t>6,744</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283"/>
              <w:jc w:val="right"/>
              <w:rPr/>
            </w:pPr>
            <w:r>
              <w:rPr/>
              <w:t>6,534</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530" w:type="dxa"/>
            <w:tcBorders>
              <w:bottom w:val="double" w:sz="8" w:space="0" w:color="000000"/>
            </w:tcBorders>
            <w:shd w:fill="CCEEFF" w:val="clear"/>
            <w:tcMar>
              <w:bottom w:w="28" w:type="dxa"/>
            </w:tcMar>
            <w:vAlign w:val="center"/>
          </w:tcPr>
          <w:p>
            <w:pPr>
              <w:pStyle w:val="TableContents"/>
              <w:bidi w:val="0"/>
              <w:spacing w:before="0" w:after="0"/>
              <w:jc w:val="left"/>
              <w:rPr/>
            </w:pPr>
            <w:r>
              <w:rPr/>
              <w:t xml:space="preserve">Total noninterest income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7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49,727</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1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8" w:space="0" w:color="000000"/>
            </w:tcBorders>
            <w:shd w:fill="CCEEFF" w:val="clear"/>
            <w:tcMar>
              <w:bottom w:w="28" w:type="dxa"/>
            </w:tcMar>
            <w:vAlign w:val="center"/>
          </w:tcPr>
          <w:p>
            <w:pPr>
              <w:pStyle w:val="TableContents"/>
              <w:bidi w:val="0"/>
              <w:spacing w:before="0" w:after="283"/>
              <w:jc w:val="right"/>
              <w:rPr/>
            </w:pPr>
            <w:r>
              <w:rPr/>
              <w:t>50,136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78" w:type="dxa"/>
            <w:tcBorders>
              <w:bottom w:val="double" w:sz="8" w:space="0" w:color="000000"/>
            </w:tcBorders>
            <w:shd w:fill="CCEEFF" w:val="clear"/>
            <w:tcMar>
              <w:bottom w:w="28" w:type="dxa"/>
            </w:tcMar>
            <w:vAlign w:val="center"/>
          </w:tcPr>
          <w:p>
            <w:pPr>
              <w:pStyle w:val="TableContents"/>
              <w:bidi w:val="0"/>
              <w:spacing w:before="0" w:after="283"/>
              <w:jc w:val="right"/>
              <w:rPr/>
            </w:pPr>
            <w:r>
              <w:rPr/>
              <w:t>46,932</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78"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99,863</w:t>
            </w:r>
          </w:p>
        </w:tc>
        <w:tc>
          <w:tcPr>
            <w:tcW w:w="9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78" w:type="dxa"/>
            <w:tcBorders>
              <w:bottom w:val="double" w:sz="8" w:space="0" w:color="000000"/>
            </w:tcBorders>
            <w:shd w:fill="CCEEFF" w:val="clear"/>
            <w:tcMar>
              <w:bottom w:w="28" w:type="dxa"/>
            </w:tcMar>
            <w:vAlign w:val="center"/>
          </w:tcPr>
          <w:p>
            <w:pPr>
              <w:pStyle w:val="TableContents"/>
              <w:bidi w:val="0"/>
              <w:spacing w:before="0" w:after="283"/>
              <w:jc w:val="right"/>
              <w:rPr/>
            </w:pPr>
            <w:r>
              <w:rPr/>
              <w:t>94,384</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Noninterest income for the three months ended June 30, 2026 was $49.7 million, down $0.4 million, or 0.8%, from the prior quarter and up $2.8 million, or 6.0%, from the second quarter of 2025. Excluding net securities gains, noninterest income for the three months ended June 30, 2026 was $49.6 million, down $0.1 million, or 0.3%, from the prior quarter and up $2.7 million, or 5.8%, from the second quarter of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increase from the prior quarter was primarily driven by an increase in card services income and retirement plan administration fees. Card services income increased from the prior quarter driven by seasonal increased volumes. Retirement plan administration fees increased from the prior quarter driven by higher activity-based fees, additional fees from new customer relationships and increased market values of assets under administration.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increase from the second quarter of 2025 was driven by an increase in service charges on deposit accounts and card services income due to the Evans acquisition. In addition, noninterest income increased from the second quarter of 2025 due to an increase in retirement plan administration fees driven by higher activity-based fees, additional fees from new customer relationships and increased market values of assets under administration.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Noninterest income for the six months ended June 30, 2026 was $99.9 million, up $5.5 million, or 5.8%, from the same period in 2025. Excluding net securities gains, noninterest income for the six months ended June 30, 2026 was $99.2 million, up $4.9 million, or 5.2%, from the same period in 2025. The increase from the prior year was primarily due to an increase in retirement plan administration fees, which were driven by higher activity-based fees, additional fees from new customer relationships and increased market values of assets under administration. Service charges on deposit accounts and card services income increased from the same period in 2025 primarily due to the Evans acquisition.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Noninterest Expense</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Noninterest expenses are also an important factor in the Company’s results of operations. The following table sets forth the major components of noninterest expense for the periods indicated: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173"/>
        <w:gridCol w:w="90"/>
        <w:gridCol w:w="170"/>
        <w:gridCol w:w="830"/>
        <w:gridCol w:w="90"/>
        <w:gridCol w:w="90"/>
        <w:gridCol w:w="184"/>
        <w:gridCol w:w="901"/>
        <w:gridCol w:w="90"/>
        <w:gridCol w:w="90"/>
        <w:gridCol w:w="170"/>
        <w:gridCol w:w="830"/>
        <w:gridCol w:w="90"/>
        <w:gridCol w:w="90"/>
        <w:gridCol w:w="170"/>
        <w:gridCol w:w="830"/>
        <w:gridCol w:w="90"/>
        <w:gridCol w:w="90"/>
        <w:gridCol w:w="170"/>
        <w:gridCol w:w="830"/>
        <w:gridCol w:w="137"/>
      </w:tblGrid>
      <w:tr>
        <w:trPr/>
        <w:tc>
          <w:tcPr>
            <w:tcW w:w="41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3445" w:type="dxa"/>
            <w:gridSpan w:val="10"/>
            <w:tcBorders>
              <w:bottom w:val="single" w:sz="12" w:space="0" w:color="000000"/>
            </w:tcBorders>
            <w:tcMar>
              <w:bottom w:w="28" w:type="dxa"/>
            </w:tcMar>
            <w:vAlign w:val="center"/>
          </w:tcPr>
          <w:p>
            <w:pPr>
              <w:pStyle w:val="TableContents"/>
              <w:bidi w:val="0"/>
              <w:spacing w:before="0" w:after="283"/>
              <w:jc w:val="center"/>
              <w:rPr>
                <w:b/>
              </w:rPr>
            </w:pPr>
            <w:r>
              <w:rPr>
                <w:b/>
                <w:spacing w:val="0"/>
              </w:rPr>
              <w:t>Three Months Ended</w:t>
            </w:r>
            <w:r>
              <w:rPr>
                <w:b/>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spacing w:val="0"/>
              </w:rPr>
              <w:t>Six Months Ended</w:t>
            </w:r>
            <w:r>
              <w:rPr>
                <w:b/>
              </w:rPr>
              <w:t xml:space="preserve"> </w:t>
            </w:r>
          </w:p>
        </w:tc>
        <w:tc>
          <w:tcPr>
            <w:tcW w:w="137"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173" w:type="dxa"/>
            <w:tcBorders>
              <w:bottom w:val="single" w:sz="12" w:space="0" w:color="000000"/>
            </w:tcBorders>
            <w:tcMar>
              <w:bottom w:w="28" w:type="dxa"/>
            </w:tcMar>
            <w:vAlign w:val="center"/>
          </w:tcPr>
          <w:p>
            <w:pPr>
              <w:pStyle w:val="TableContents"/>
              <w:bidi w:val="0"/>
              <w:spacing w:before="0" w:after="0"/>
              <w:ind w:left="144" w:right="0" w:hanging="0"/>
              <w:jc w:val="left"/>
              <w:rPr/>
            </w:pPr>
            <w:r>
              <w:rPr/>
              <w:t xml:space="preserve">  </w:t>
            </w:r>
          </w:p>
          <w:p>
            <w:pPr>
              <w:pStyle w:val="TableContents"/>
              <w:bidi w:val="0"/>
              <w:spacing w:before="0" w:after="0"/>
              <w:ind w:left="0" w:right="0" w:hanging="144"/>
              <w:jc w:val="left"/>
              <w:rPr>
                <w:b w:val="false"/>
                <w:i/>
              </w:rPr>
            </w:pPr>
            <w:r>
              <w:rPr>
                <w:b w:val="false"/>
                <w:i/>
              </w:rPr>
              <w:t xml:space="preserve">(In thousands)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 xml:space="preserve">2026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 xml:space="preserve">2026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 xml:space="preserve">2025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 xml:space="preserve">2026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 xml:space="preserve">2025 </w:t>
            </w:r>
          </w:p>
        </w:tc>
        <w:tc>
          <w:tcPr>
            <w:tcW w:w="137"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173" w:type="dxa"/>
            <w:tcBorders/>
            <w:shd w:fill="CCEEFF" w:val="clear"/>
            <w:vAlign w:val="center"/>
          </w:tcPr>
          <w:p>
            <w:pPr>
              <w:pStyle w:val="TableContents"/>
              <w:bidi w:val="0"/>
              <w:spacing w:before="0" w:after="0"/>
              <w:ind w:left="0" w:right="0" w:hanging="144"/>
              <w:jc w:val="left"/>
              <w:rPr/>
            </w:pPr>
            <w:r>
              <w:rPr/>
              <w:t xml:space="preserve">Salaries and employee benefits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69,004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68,759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64,155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137,763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124,849</w:t>
            </w:r>
          </w:p>
        </w:tc>
        <w:tc>
          <w:tcPr>
            <w:tcW w:w="137" w:type="dxa"/>
            <w:tcBorders/>
            <w:shd w:fill="CCEEFF" w:val="clear"/>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0"/>
              <w:ind w:left="0" w:right="0" w:hanging="144"/>
              <w:jc w:val="left"/>
              <w:rPr/>
            </w:pPr>
            <w:r>
              <w:rPr/>
              <w:t xml:space="preserve">Technology and data services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11,850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11,510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10,804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23,360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21,042</w:t>
            </w:r>
          </w:p>
        </w:tc>
        <w:tc>
          <w:tcPr>
            <w:tcW w:w="137" w:type="dxa"/>
            <w:tcBorders/>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0"/>
              <w:ind w:left="0" w:right="0" w:hanging="144"/>
              <w:jc w:val="left"/>
              <w:rPr/>
            </w:pPr>
            <w:r>
              <w:rPr/>
              <w:t xml:space="preserve">Occupancy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9,475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11,010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20,485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18,065</w:t>
            </w:r>
          </w:p>
        </w:tc>
        <w:tc>
          <w:tcPr>
            <w:tcW w:w="137" w:type="dxa"/>
            <w:tcBorders/>
            <w:shd w:fill="CCEEFF" w:val="clear"/>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0"/>
              <w:ind w:left="0" w:right="0" w:hanging="144"/>
              <w:jc w:val="left"/>
              <w:rPr/>
            </w:pPr>
            <w:r>
              <w:rPr/>
              <w:t xml:space="preserve">Professional fees and outside services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5,662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5,554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11,216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9,973</w:t>
            </w:r>
          </w:p>
        </w:tc>
        <w:tc>
          <w:tcPr>
            <w:tcW w:w="137" w:type="dxa"/>
            <w:tcBorders/>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0"/>
              <w:ind w:left="0" w:right="0" w:hanging="144"/>
              <w:jc w:val="left"/>
              <w:rPr/>
            </w:pPr>
            <w:r>
              <w:rPr/>
              <w:t xml:space="preserve">Office supplies and postage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2,060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2,167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4,227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3,813</w:t>
            </w:r>
          </w:p>
        </w:tc>
        <w:tc>
          <w:tcPr>
            <w:tcW w:w="137" w:type="dxa"/>
            <w:tcBorders/>
            <w:shd w:fill="CCEEFF" w:val="clear"/>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0"/>
              <w:ind w:left="0" w:right="0" w:hanging="144"/>
              <w:jc w:val="left"/>
              <w:rPr/>
            </w:pPr>
            <w:r>
              <w:rPr/>
              <w:t xml:space="preserve">FDIC assessment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1,984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2,010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3,994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3,514</w:t>
            </w:r>
          </w:p>
        </w:tc>
        <w:tc>
          <w:tcPr>
            <w:tcW w:w="137" w:type="dxa"/>
            <w:tcBorders/>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0"/>
              <w:ind w:left="0" w:right="0" w:hanging="144"/>
              <w:jc w:val="left"/>
              <w:rPr/>
            </w:pPr>
            <w:r>
              <w:rPr/>
              <w:t xml:space="preserve">Marketing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936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2,112</w:t>
            </w:r>
          </w:p>
        </w:tc>
        <w:tc>
          <w:tcPr>
            <w:tcW w:w="137" w:type="dxa"/>
            <w:tcBorders/>
            <w:shd w:fill="CCEEFF" w:val="clear"/>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0"/>
              <w:ind w:left="0" w:right="0" w:hanging="144"/>
              <w:jc w:val="left"/>
              <w:rPr/>
            </w:pPr>
            <w:r>
              <w:rPr/>
              <w:t xml:space="preserve">Amortization of intangible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3,348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6,539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5,153</w:t>
            </w:r>
          </w:p>
        </w:tc>
        <w:tc>
          <w:tcPr>
            <w:tcW w:w="137" w:type="dxa"/>
            <w:tcBorders/>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0"/>
              <w:ind w:left="0" w:right="0" w:hanging="144"/>
              <w:jc w:val="left"/>
              <w:rPr/>
            </w:pPr>
            <w:r>
              <w:rPr/>
              <w:t xml:space="preserve">Loan collection and other real estate owned,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1,148</w:t>
            </w:r>
          </w:p>
        </w:tc>
        <w:tc>
          <w:tcPr>
            <w:tcW w:w="137" w:type="dxa"/>
            <w:tcBorders/>
            <w:shd w:fill="CCEEFF" w:val="clear"/>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0"/>
              <w:ind w:left="0" w:right="0" w:hanging="144"/>
              <w:jc w:val="left"/>
              <w:rPr/>
            </w:pPr>
            <w:r>
              <w:rPr/>
              <w:t xml:space="preserve">Acquisition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18,401</w:t>
            </w:r>
          </w:p>
        </w:tc>
        <w:tc>
          <w:tcPr>
            <w:tcW w:w="137" w:type="dxa"/>
            <w:tcBorders/>
            <w:vAlign w:val="center"/>
          </w:tcPr>
          <w:p>
            <w:pPr>
              <w:pStyle w:val="TableContents"/>
              <w:bidi w:val="0"/>
              <w:spacing w:before="0" w:after="283"/>
              <w:jc w:val="left"/>
              <w:rPr/>
            </w:pPr>
            <w:r>
              <w:rPr/>
              <w:t> </w:t>
            </w:r>
          </w:p>
        </w:tc>
      </w:tr>
      <w:tr>
        <w:trPr/>
        <w:tc>
          <w:tcPr>
            <w:tcW w:w="4173"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Other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6,731</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6,346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8,216</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13,077</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14,440</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173" w:type="dxa"/>
            <w:tcBorders>
              <w:bottom w:val="double" w:sz="8" w:space="0" w:color="000000"/>
            </w:tcBorders>
            <w:tcMar>
              <w:bottom w:w="28" w:type="dxa"/>
            </w:tcMar>
            <w:vAlign w:val="center"/>
          </w:tcPr>
          <w:p>
            <w:pPr>
              <w:pStyle w:val="TableContents"/>
              <w:bidi w:val="0"/>
              <w:spacing w:before="0" w:after="0"/>
              <w:jc w:val="left"/>
              <w:rPr/>
            </w:pPr>
            <w:r>
              <w:rPr/>
              <w:t xml:space="preserve">Total noninterest expense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tcMar>
              <w:bottom w:w="28" w:type="dxa"/>
            </w:tcMar>
            <w:vAlign w:val="center"/>
          </w:tcPr>
          <w:p>
            <w:pPr>
              <w:pStyle w:val="TableContents"/>
              <w:bidi w:val="0"/>
              <w:spacing w:before="0" w:after="283"/>
              <w:jc w:val="right"/>
              <w:rPr>
                <w:b/>
              </w:rPr>
            </w:pPr>
            <w:r>
              <w:rPr>
                <w:b/>
              </w:rPr>
              <w:t>111,438</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84" w:type="dxa"/>
            <w:tcBorders>
              <w:bottom w:val="double" w:sz="8" w:space="0" w:color="000000"/>
            </w:tcBorders>
            <w:tcMar>
              <w:bottom w:w="28" w:type="dxa"/>
            </w:tcMar>
            <w:vAlign w:val="center"/>
          </w:tcPr>
          <w:p>
            <w:pPr>
              <w:pStyle w:val="TableContents"/>
              <w:bidi w:val="0"/>
              <w:spacing w:before="0" w:after="283"/>
              <w:jc w:val="left"/>
              <w:rPr/>
            </w:pPr>
            <w:r>
              <w:rPr/>
              <w:t>$</w:t>
            </w:r>
          </w:p>
        </w:tc>
        <w:tc>
          <w:tcPr>
            <w:tcW w:w="901" w:type="dxa"/>
            <w:tcBorders>
              <w:bottom w:val="double" w:sz="8" w:space="0" w:color="000000"/>
            </w:tcBorders>
            <w:tcMar>
              <w:bottom w:w="28" w:type="dxa"/>
            </w:tcMar>
            <w:vAlign w:val="center"/>
          </w:tcPr>
          <w:p>
            <w:pPr>
              <w:pStyle w:val="TableContents"/>
              <w:bidi w:val="0"/>
              <w:spacing w:before="0" w:after="283"/>
              <w:jc w:val="right"/>
              <w:rPr/>
            </w:pPr>
            <w:r>
              <w:rPr/>
              <w:t>112,232</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122,610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8" w:space="0" w:color="000000"/>
            </w:tcBorders>
            <w:tcMar>
              <w:bottom w:w="28" w:type="dxa"/>
            </w:tcMar>
            <w:vAlign w:val="center"/>
          </w:tcPr>
          <w:p>
            <w:pPr>
              <w:pStyle w:val="TableContents"/>
              <w:bidi w:val="0"/>
              <w:spacing w:before="0" w:after="283"/>
              <w:jc w:val="right"/>
              <w:rPr>
                <w:b/>
              </w:rPr>
            </w:pPr>
            <w:r>
              <w:rPr>
                <w:b/>
              </w:rPr>
              <w:t>223,670</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30" w:type="dxa"/>
            <w:tcBorders>
              <w:bottom w:val="double" w:sz="8" w:space="0" w:color="000000"/>
            </w:tcBorders>
            <w:tcMar>
              <w:bottom w:w="28" w:type="dxa"/>
            </w:tcMar>
            <w:vAlign w:val="center"/>
          </w:tcPr>
          <w:p>
            <w:pPr>
              <w:pStyle w:val="TableContents"/>
              <w:bidi w:val="0"/>
              <w:spacing w:before="0" w:after="283"/>
              <w:jc w:val="right"/>
              <w:rPr/>
            </w:pPr>
            <w:r>
              <w:rPr/>
              <w:t>222,510</w:t>
            </w:r>
          </w:p>
        </w:tc>
        <w:tc>
          <w:tcPr>
            <w:tcW w:w="137"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Noninterest expense for the three months ended June 30, 2026 was $111.4 million, down $0.8 million, or 0.7%, from the prior quarter and down $11.2 million, or 9.1%, from the second quarter of 2025. Excluding acquisition expenses, noninterest expense for the three months ended June 30, 2026 was $111.4 million, down $0.8 million, or 0.7%, from the prior quarter and up $6.0 million, or 5.7%, from the second quarter of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decrease from the prior quarter was primarily driven by a decrease in occupancy costs due to the first quarter of 2026 having higher seasonal maintenance and utilities costs due to harsh winter conditions across the footprint. The decrease from the prior quarter was partially offset by an increase in salaries and employee benefits driven by a full quarter of merit pay increases, one additional payroll day and higher medical expenses, which were partially offset by lower payroll taxes and stock-based compensation expenses which are seasonally higher in the first quarter.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increase from the second quarter of 2025 was driven by the Evans acquisition. Salaries and employee benefits increased from the second quarter of 2025 driven by the impact of the Evans acquisition, annual merit pay increases and higher medical expenses. Technology and data services increased from the second quarter of 2025 primarily due to the Evans acquisition, timing of planned activities and ongoing investment in enterprise technology initiatives. In addition, the increase in occupancy expense was impacted by additional expenses from the Evans acquisition and higher facilities costs related to new banking locations. Professional fees and outside services increased from the second quarter of 2025 primarily due to the Evans acquisition and the timing of various initiatives. Other expense decreased from the second quarter of 2025 primarily due to the $1.7 million reserve for unfunded loan commitments for the three months ended June 30, 2025 including $0.5 million of acquisition-related provision for unfunded loan commitments due to the Evans acquisition.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Noninterest expense for the six months ended June 30, 2026 was $223.7 million, up $1.2 million, or 0.5%, from the same period in 2025. Excluding acquisition expenses, noninterest expense for the six months ended June 30, 2026 was $223.7 million, up $19.6 million, or 9.6%, from the same period in 2025. The increase from the prior year was driven by higher salaries and employee benefits due to the Evans acquisition, merit pay increases, higher medical expenses, higher incentive compensation expenses and other benefit costs. The increase in technology and data services was driven by the Evans acquisition, timing of planned activities and ongoing investment in enterprise technology initiatives. Occupancy expense was impacted by additional expenses from the Evans acquisition, higher utilities and higher facilities costs related to new banking locations. Professional fees and outside services increased from the prior year primarily due to the Evans acquisition and the timing of various initiatives. In addition, the increase in amortization of intangible assets was due to the amortization of the core deposit intangible asset related to the Evans acquisition.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Income Taxes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Income tax expense for the three months ended June 30, 2026 was $16.1 million, up $0.6 million from the prior quarter and up $7.9 million from the second quarter of 2025. The effective tax rate was 23.3% for the second quarter of 2026, which was consistent with the prior quarter and down from 26.7% for the second quarter of 2025. The decrease in the effective tax rate from the second quarter of 2025 was primarily due to the second quarter of 2025 estimated impact of nondeductible acquisition expenses related to the Evans acquisition and a lower level of tax-exempt income as a percentage of total pretax income.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Income tax expense for the six months ended June 30, 2026 was $31.6 million, up $12.9 million from the same period in 2025. The effective tax rate was 23.3% for the six months ended June 30, 2026, compared to 24.0% for the six months ended June 30, 2025. The decrease in the effective tax rate from 2025 was primarily due to the 2025 estimated impact of nondeductible acquisition expenses related to the Evans acquisition and a lower level of tax-exempt income as a percentage of total pretax income.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ANALYSIS OF FINANCIAL CONDITION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Securities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Total securities increased $137.7 million, or 5.1% from December 31, 2025 to June 30, 2026. The securities portfolio represented 17.3% of total assets as of June 30, 2026 as compared to 16.7% of total assets as of December 31,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details the composition of securities AFS, securities HTM and equity securities for the periods indicated: </w:t>
      </w:r>
    </w:p>
    <w:p>
      <w:pPr>
        <w:pStyle w:val="TextBody"/>
        <w:bidi w:val="0"/>
        <w:spacing w:before="0" w:after="0"/>
        <w:jc w:val="both"/>
        <w:rPr/>
      </w:pPr>
      <w:r>
        <w:rPr/>
        <w:t xml:space="preserve">  </w:t>
      </w:r>
    </w:p>
    <w:tbl>
      <w:tblPr>
        <w:tblW w:w="7898" w:type="dxa"/>
        <w:jc w:val="left"/>
        <w:tblInd w:w="0" w:type="dxa"/>
        <w:tblLayout w:type="fixed"/>
        <w:tblCellMar>
          <w:top w:w="0" w:type="dxa"/>
          <w:left w:w="0" w:type="dxa"/>
          <w:bottom w:w="0" w:type="dxa"/>
          <w:right w:w="0" w:type="dxa"/>
        </w:tblCellMar>
      </w:tblPr>
      <w:tblGrid>
        <w:gridCol w:w="3590"/>
        <w:gridCol w:w="90"/>
        <w:gridCol w:w="270"/>
        <w:gridCol w:w="1234"/>
        <w:gridCol w:w="290"/>
        <w:gridCol w:w="90"/>
        <w:gridCol w:w="367"/>
        <w:gridCol w:w="1677"/>
        <w:gridCol w:w="290"/>
      </w:tblGrid>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3590" w:type="dxa"/>
            <w:tcBorders/>
            <w:vAlign w:val="center"/>
          </w:tcPr>
          <w:p>
            <w:pPr>
              <w:pStyle w:val="TableContents"/>
              <w:bidi w:val="0"/>
              <w:spacing w:before="0" w:after="0"/>
              <w:ind w:left="0" w:right="0" w:hanging="144"/>
              <w:jc w:val="left"/>
              <w:rPr/>
            </w:pPr>
            <w:r>
              <w:rPr/>
              <w:t xml:space="preserve">Mortgage-backed securities: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With maturities 15 years or less</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b/>
              </w:rPr>
            </w:pPr>
            <w:r>
              <w:rPr>
                <w:b/>
              </w:rPr>
              <w:t>15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15</w:t>
            </w:r>
          </w:p>
        </w:tc>
        <w:tc>
          <w:tcPr>
            <w:tcW w:w="290" w:type="dxa"/>
            <w:tcBorders/>
            <w:shd w:fill="CCEEFF" w:val="clear"/>
            <w:vAlign w:val="center"/>
          </w:tcPr>
          <w:p>
            <w:pPr>
              <w:pStyle w:val="TableContents"/>
              <w:bidi w:val="0"/>
              <w:spacing w:before="0" w:after="283"/>
              <w:jc w:val="left"/>
              <w:rPr/>
            </w:pPr>
            <w:r>
              <w:rPr/>
              <w:t>%</w:t>
            </w:r>
          </w:p>
        </w:tc>
      </w:tr>
      <w:tr>
        <w:trPr/>
        <w:tc>
          <w:tcPr>
            <w:tcW w:w="3590" w:type="dxa"/>
            <w:tcBorders/>
            <w:vAlign w:val="center"/>
          </w:tcPr>
          <w:p>
            <w:pPr>
              <w:pStyle w:val="TableContents"/>
              <w:bidi w:val="0"/>
              <w:spacing w:before="0" w:after="0"/>
              <w:jc w:val="left"/>
              <w:rPr/>
            </w:pPr>
            <w:r>
              <w:rPr/>
              <w:t xml:space="preserve">With maturities greater than 15 years </w:t>
            </w:r>
          </w:p>
        </w:tc>
        <w:tc>
          <w:tcPr>
            <w:tcW w:w="90"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b/>
              </w:rPr>
            </w:pPr>
            <w:r>
              <w:rPr>
                <w:b/>
              </w:rPr>
              <w:t>11</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367"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8</w:t>
            </w:r>
          </w:p>
        </w:tc>
        <w:tc>
          <w:tcPr>
            <w:tcW w:w="290" w:type="dxa"/>
            <w:tcBorders/>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0"/>
              <w:ind w:left="0" w:right="0" w:hanging="144"/>
              <w:jc w:val="left"/>
              <w:rPr/>
            </w:pPr>
            <w:r>
              <w:rPr/>
              <w:t xml:space="preserve">Collateralized mortgage obligations </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b/>
              </w:rPr>
            </w:pPr>
            <w:r>
              <w:rPr>
                <w:b/>
              </w:rPr>
              <w:t>39</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367"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w:t>
            </w:r>
          </w:p>
        </w:tc>
      </w:tr>
      <w:tr>
        <w:trPr/>
        <w:tc>
          <w:tcPr>
            <w:tcW w:w="3590" w:type="dxa"/>
            <w:tcBorders/>
            <w:vAlign w:val="center"/>
          </w:tcPr>
          <w:p>
            <w:pPr>
              <w:pStyle w:val="TableContents"/>
              <w:bidi w:val="0"/>
              <w:spacing w:before="0" w:after="0"/>
              <w:ind w:left="0" w:right="0" w:hanging="144"/>
              <w:jc w:val="left"/>
              <w:rPr/>
            </w:pPr>
            <w:r>
              <w:rPr/>
              <w:t xml:space="preserve">Municipal securities </w:t>
            </w:r>
          </w:p>
        </w:tc>
        <w:tc>
          <w:tcPr>
            <w:tcW w:w="90"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b/>
              </w:rPr>
            </w:pPr>
            <w:r>
              <w:rPr>
                <w:b/>
              </w:rPr>
              <w:t>13</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367"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13</w:t>
            </w:r>
          </w:p>
        </w:tc>
        <w:tc>
          <w:tcPr>
            <w:tcW w:w="290" w:type="dxa"/>
            <w:tcBorders/>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0"/>
              <w:ind w:left="0" w:right="0" w:hanging="144"/>
              <w:jc w:val="left"/>
              <w:rPr/>
            </w:pPr>
            <w:r>
              <w:rPr/>
              <w:t xml:space="preserve">U.S. agency notes </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b/>
              </w:rPr>
            </w:pPr>
            <w:r>
              <w:rPr>
                <w:b/>
              </w:rPr>
              <w:t>19</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367"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w:t>
            </w:r>
          </w:p>
        </w:tc>
      </w:tr>
      <w:tr>
        <w:trPr/>
        <w:tc>
          <w:tcPr>
            <w:tcW w:w="3590" w:type="dxa"/>
            <w:tcBorders/>
            <w:vAlign w:val="center"/>
          </w:tcPr>
          <w:p>
            <w:pPr>
              <w:pStyle w:val="TableContents"/>
              <w:bidi w:val="0"/>
              <w:spacing w:before="0" w:after="0"/>
              <w:ind w:left="0" w:right="0" w:hanging="144"/>
              <w:jc w:val="left"/>
              <w:rPr/>
            </w:pPr>
            <w:r>
              <w:rPr/>
              <w:t xml:space="preserve">Corporate </w:t>
            </w:r>
          </w:p>
        </w:tc>
        <w:tc>
          <w:tcPr>
            <w:tcW w:w="90"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b/>
              </w:rPr>
            </w:pPr>
            <w:r>
              <w:rPr>
                <w:b/>
              </w:rPr>
              <w:t>1</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367"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w:t>
            </w:r>
          </w:p>
        </w:tc>
      </w:tr>
      <w:tr>
        <w:trPr/>
        <w:tc>
          <w:tcPr>
            <w:tcW w:w="359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Equity securities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7"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3590" w:type="dxa"/>
            <w:tcBorders>
              <w:bottom w:val="double" w:sz="8" w:space="0" w:color="000000"/>
            </w:tcBorders>
            <w:tcMar>
              <w:bottom w:w="28" w:type="dxa"/>
            </w:tcMar>
            <w:vAlign w:val="center"/>
          </w:tcPr>
          <w:p>
            <w:pPr>
              <w:pStyle w:val="TableContents"/>
              <w:bidi w:val="0"/>
              <w:spacing w:before="0" w:after="0"/>
              <w:ind w:left="0" w:right="0" w:hanging="144"/>
              <w:jc w:val="left"/>
              <w:rPr/>
            </w:pPr>
            <w:r>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70" w:type="dxa"/>
            <w:tcBorders>
              <w:bottom w:val="double" w:sz="8" w:space="0" w:color="000000"/>
            </w:tcBorders>
            <w:tcMar>
              <w:bottom w:w="28" w:type="dxa"/>
            </w:tcMar>
            <w:vAlign w:val="center"/>
          </w:tcPr>
          <w:p>
            <w:pPr>
              <w:pStyle w:val="TableContents"/>
              <w:bidi w:val="0"/>
              <w:spacing w:before="0" w:after="283"/>
              <w:jc w:val="left"/>
              <w:rPr/>
            </w:pPr>
            <w:r>
              <w:rPr/>
              <w:t> </w:t>
            </w:r>
          </w:p>
        </w:tc>
        <w:tc>
          <w:tcPr>
            <w:tcW w:w="1234" w:type="dxa"/>
            <w:tcBorders>
              <w:bottom w:val="double" w:sz="8" w:space="0" w:color="000000"/>
            </w:tcBorders>
            <w:tcMar>
              <w:bottom w:w="28" w:type="dxa"/>
            </w:tcMar>
            <w:vAlign w:val="center"/>
          </w:tcPr>
          <w:p>
            <w:pPr>
              <w:pStyle w:val="TableContents"/>
              <w:bidi w:val="0"/>
              <w:spacing w:before="0" w:after="283"/>
              <w:jc w:val="right"/>
              <w:rPr>
                <w:b/>
              </w:rPr>
            </w:pPr>
            <w:r>
              <w:rPr>
                <w:b/>
              </w:rPr>
              <w:t>100</w:t>
            </w:r>
          </w:p>
        </w:tc>
        <w:tc>
          <w:tcPr>
            <w:tcW w:w="290"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367" w:type="dxa"/>
            <w:tcBorders>
              <w:bottom w:val="double" w:sz="8" w:space="0" w:color="000000"/>
            </w:tcBorders>
            <w:tcMar>
              <w:bottom w:w="28" w:type="dxa"/>
            </w:tcMar>
            <w:vAlign w:val="center"/>
          </w:tcPr>
          <w:p>
            <w:pPr>
              <w:pStyle w:val="TableContents"/>
              <w:bidi w:val="0"/>
              <w:spacing w:before="0" w:after="283"/>
              <w:jc w:val="left"/>
              <w:rPr/>
            </w:pPr>
            <w:r>
              <w:rPr/>
              <w:t> </w:t>
            </w:r>
          </w:p>
        </w:tc>
        <w:tc>
          <w:tcPr>
            <w:tcW w:w="1677" w:type="dxa"/>
            <w:tcBorders>
              <w:bottom w:val="double" w:sz="8" w:space="0" w:color="000000"/>
            </w:tcBorders>
            <w:tcMar>
              <w:bottom w:w="28" w:type="dxa"/>
            </w:tcMar>
            <w:vAlign w:val="center"/>
          </w:tcPr>
          <w:p>
            <w:pPr>
              <w:pStyle w:val="TableContents"/>
              <w:bidi w:val="0"/>
              <w:spacing w:before="0" w:after="283"/>
              <w:jc w:val="right"/>
              <w:rPr/>
            </w:pPr>
            <w:r>
              <w:rPr/>
              <w:t>100</w:t>
            </w:r>
          </w:p>
        </w:tc>
        <w:tc>
          <w:tcPr>
            <w:tcW w:w="290" w:type="dxa"/>
            <w:tcBorders>
              <w:bottom w:val="doub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Company’s mortgage-backed securities, U.S. agency notes and collateralized mortgage obligations are all guaranteed by Fannie Mae, Freddie Mac, FHLB, Federal Farm Credit Banks or Ginnie Mae (“GNMA”). GNMA securities are considered similar in credit quality to U.S. Treasury securities, as they are backed by the full faith and credit of the U.S. government. Currently, there are no subprime mortgages in our investment portfolio.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Loans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 summary of the loan portfolio by major categories</w:t>
      </w:r>
      <w:r>
        <w:rPr>
          <w:rFonts w:ascii="TimesNewRoman;Times New Roman;Times;Baskerville;Georgia;serif" w:hAnsi="TimesNewRoman;Times New Roman;Times;Baskerville;Georgia;serif"/>
          <w:sz w:val="14"/>
        </w:rPr>
        <w:t>(1)</w:t>
      </w:r>
      <w:r>
        <w:rPr>
          <w:rFonts w:ascii="TimesNewRoman;Times New Roman;Times;Baskerville;Georgia;serif" w:hAnsi="TimesNewRoman;Times New Roman;Times;Baskerville;Georgia;serif"/>
          <w:sz w:val="20"/>
        </w:rPr>
        <w:t xml:space="preserve">, net of deferred fees and origination costs, for the periods indicated is as follows: </w:t>
      </w:r>
    </w:p>
    <w:p>
      <w:pPr>
        <w:pStyle w:val="TextBody"/>
        <w:bidi w:val="0"/>
        <w:spacing w:before="0" w:after="0"/>
        <w:jc w:val="left"/>
        <w:rPr/>
      </w:pPr>
      <w:r>
        <w:rPr/>
        <w:t xml:space="preserve">  </w:t>
      </w:r>
    </w:p>
    <w:tbl>
      <w:tblPr>
        <w:tblW w:w="6343" w:type="dxa"/>
        <w:jc w:val="left"/>
        <w:tblInd w:w="0" w:type="dxa"/>
        <w:tblLayout w:type="fixed"/>
        <w:tblCellMar>
          <w:top w:w="0" w:type="dxa"/>
          <w:left w:w="0" w:type="dxa"/>
          <w:bottom w:w="0" w:type="dxa"/>
          <w:right w:w="0" w:type="dxa"/>
        </w:tblCellMar>
      </w:tblPr>
      <w:tblGrid>
        <w:gridCol w:w="2390"/>
        <w:gridCol w:w="90"/>
        <w:gridCol w:w="196"/>
        <w:gridCol w:w="1308"/>
        <w:gridCol w:w="90"/>
        <w:gridCol w:w="90"/>
        <w:gridCol w:w="267"/>
        <w:gridCol w:w="1777"/>
        <w:gridCol w:w="135"/>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90" w:type="dxa"/>
            <w:tcBorders>
              <w:bottom w:val="single" w:sz="12" w:space="0" w:color="000000"/>
            </w:tcBorders>
            <w:tcMar>
              <w:bottom w:w="28" w:type="dxa"/>
            </w:tcMar>
            <w:vAlign w:val="center"/>
          </w:tcPr>
          <w:p>
            <w:pPr>
              <w:pStyle w:val="TableContents"/>
              <w:bidi w:val="0"/>
              <w:spacing w:before="0" w:after="0"/>
              <w:jc w:val="left"/>
              <w:rPr/>
            </w:pPr>
            <w:r>
              <w:rPr>
                <w:i/>
              </w:rPr>
              <w:t>(In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2390" w:type="dxa"/>
            <w:tcBorders/>
            <w:shd w:fill="CCEEFF" w:val="clear"/>
            <w:vAlign w:val="center"/>
          </w:tcPr>
          <w:p>
            <w:pPr>
              <w:pStyle w:val="TableContents"/>
              <w:bidi w:val="0"/>
              <w:spacing w:before="0" w:after="283"/>
              <w:jc w:val="left"/>
              <w:rPr/>
            </w:pPr>
            <w:r>
              <w:rPr/>
              <w:t>Commercial &amp; industrial</w:t>
            </w:r>
          </w:p>
        </w:tc>
        <w:tc>
          <w:tcPr>
            <w:tcW w:w="9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b/>
              </w:rPr>
            </w:pPr>
            <w:r>
              <w:rPr>
                <w:b/>
              </w:rPr>
              <w:t>$</w:t>
            </w:r>
          </w:p>
        </w:tc>
        <w:tc>
          <w:tcPr>
            <w:tcW w:w="1308" w:type="dxa"/>
            <w:tcBorders/>
            <w:shd w:fill="CCEEFF" w:val="clear"/>
            <w:vAlign w:val="center"/>
          </w:tcPr>
          <w:p>
            <w:pPr>
              <w:pStyle w:val="TableContents"/>
              <w:bidi w:val="0"/>
              <w:spacing w:before="0" w:after="283"/>
              <w:jc w:val="right"/>
              <w:rPr>
                <w:b/>
              </w:rPr>
            </w:pPr>
            <w:r>
              <w:rPr>
                <w:b/>
              </w:rPr>
              <w:t>1,755,123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777" w:type="dxa"/>
            <w:tcBorders/>
            <w:shd w:fill="CCEEFF" w:val="clear"/>
            <w:vAlign w:val="center"/>
          </w:tcPr>
          <w:p>
            <w:pPr>
              <w:pStyle w:val="TableContents"/>
              <w:bidi w:val="0"/>
              <w:spacing w:before="0" w:after="283"/>
              <w:jc w:val="right"/>
              <w:rPr/>
            </w:pPr>
            <w:r>
              <w:rPr/>
              <w:t>1,671,974</w:t>
            </w:r>
          </w:p>
        </w:tc>
        <w:tc>
          <w:tcPr>
            <w:tcW w:w="13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pPr>
            <w:r>
              <w:rPr/>
              <w:t xml:space="preserve">Commercial real estate </w:t>
            </w:r>
          </w:p>
        </w:tc>
        <w:tc>
          <w:tcPr>
            <w:tcW w:w="90" w:type="dxa"/>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b/>
              </w:rPr>
            </w:pPr>
            <w:r>
              <w:rPr>
                <w:b/>
              </w:rPr>
              <w:t>4,893,543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4,798,957</w:t>
            </w:r>
          </w:p>
        </w:tc>
        <w:tc>
          <w:tcPr>
            <w:tcW w:w="13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pPr>
            <w:r>
              <w:rPr/>
              <w:t xml:space="preserve">Residential mortgage </w:t>
            </w:r>
          </w:p>
        </w:tc>
        <w:tc>
          <w:tcPr>
            <w:tcW w:w="9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b/>
              </w:rPr>
            </w:pPr>
            <w:r>
              <w:rPr>
                <w:b/>
              </w:rPr>
              <w:t>2,558,338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right"/>
              <w:rPr/>
            </w:pPr>
            <w:r>
              <w:rPr/>
              <w:t>2,537,593</w:t>
            </w:r>
          </w:p>
        </w:tc>
        <w:tc>
          <w:tcPr>
            <w:tcW w:w="13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pPr>
            <w:r>
              <w:rPr/>
              <w:t xml:space="preserve">Home equity </w:t>
            </w:r>
          </w:p>
        </w:tc>
        <w:tc>
          <w:tcPr>
            <w:tcW w:w="90" w:type="dxa"/>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b/>
              </w:rPr>
            </w:pPr>
            <w:r>
              <w:rPr>
                <w:b/>
              </w:rPr>
              <w:t>465,340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448,113</w:t>
            </w:r>
          </w:p>
        </w:tc>
        <w:tc>
          <w:tcPr>
            <w:tcW w:w="13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pPr>
            <w:r>
              <w:rPr/>
              <w:t xml:space="preserve">Indirect auto </w:t>
            </w:r>
          </w:p>
        </w:tc>
        <w:tc>
          <w:tcPr>
            <w:tcW w:w="9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b/>
              </w:rPr>
            </w:pPr>
            <w:r>
              <w:rPr>
                <w:b/>
              </w:rPr>
              <w:t>1,450,482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right"/>
              <w:rPr/>
            </w:pPr>
            <w:r>
              <w:rPr/>
              <w:t>1,340,524</w:t>
            </w:r>
          </w:p>
        </w:tc>
        <w:tc>
          <w:tcPr>
            <w:tcW w:w="13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pPr>
            <w:r>
              <w:rPr/>
              <w:t xml:space="preserve">Residential solar </w:t>
            </w:r>
          </w:p>
        </w:tc>
        <w:tc>
          <w:tcPr>
            <w:tcW w:w="90" w:type="dxa"/>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b/>
              </w:rPr>
            </w:pPr>
            <w:r>
              <w:rPr>
                <w:b/>
              </w:rPr>
              <w:t>693,177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right"/>
              <w:rPr/>
            </w:pPr>
            <w:r>
              <w:rPr/>
              <w:t>736,970</w:t>
            </w:r>
          </w:p>
        </w:tc>
        <w:tc>
          <w:tcPr>
            <w:tcW w:w="135" w:type="dxa"/>
            <w:tcBorders/>
            <w:vAlign w:val="center"/>
          </w:tcPr>
          <w:p>
            <w:pPr>
              <w:pStyle w:val="TableContents"/>
              <w:bidi w:val="0"/>
              <w:spacing w:before="0" w:after="283"/>
              <w:jc w:val="left"/>
              <w:rPr/>
            </w:pPr>
            <w:r>
              <w:rPr/>
              <w:t> </w:t>
            </w:r>
          </w:p>
        </w:tc>
      </w:tr>
      <w:tr>
        <w:trPr/>
        <w:tc>
          <w:tcPr>
            <w:tcW w:w="2390"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Other consumer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58,078</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7" w:type="dxa"/>
            <w:tcBorders>
              <w:bottom w:val="single" w:sz="12" w:space="0" w:color="000000"/>
            </w:tcBorders>
            <w:shd w:fill="CCEEFF" w:val="clear"/>
            <w:tcMar>
              <w:bottom w:w="28" w:type="dxa"/>
            </w:tcMar>
            <w:vAlign w:val="center"/>
          </w:tcPr>
          <w:p>
            <w:pPr>
              <w:pStyle w:val="TableContents"/>
              <w:bidi w:val="0"/>
              <w:spacing w:before="0" w:after="283"/>
              <w:jc w:val="right"/>
              <w:rPr/>
            </w:pPr>
            <w:r>
              <w:rPr/>
              <w:t>63,983</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2390" w:type="dxa"/>
            <w:tcBorders>
              <w:bottom w:val="double" w:sz="8" w:space="0" w:color="000000"/>
            </w:tcBorders>
            <w:tcMar>
              <w:bottom w:w="28" w:type="dxa"/>
            </w:tcMar>
            <w:vAlign w:val="center"/>
          </w:tcPr>
          <w:p>
            <w:pPr>
              <w:pStyle w:val="TableContents"/>
              <w:bidi w:val="0"/>
              <w:spacing w:before="0" w:after="0"/>
              <w:jc w:val="left"/>
              <w:rPr/>
            </w:pPr>
            <w:r>
              <w:rPr/>
              <w:t xml:space="preserve">Total loans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96"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308" w:type="dxa"/>
            <w:tcBorders>
              <w:bottom w:val="double" w:sz="8" w:space="0" w:color="000000"/>
            </w:tcBorders>
            <w:tcMar>
              <w:bottom w:w="28" w:type="dxa"/>
            </w:tcMar>
            <w:vAlign w:val="center"/>
          </w:tcPr>
          <w:p>
            <w:pPr>
              <w:pStyle w:val="TableContents"/>
              <w:bidi w:val="0"/>
              <w:spacing w:before="0" w:after="283"/>
              <w:jc w:val="right"/>
              <w:rPr>
                <w:b/>
              </w:rPr>
            </w:pPr>
            <w:r>
              <w:rPr>
                <w:b/>
              </w:rPr>
              <w:t>11,874,081</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67" w:type="dxa"/>
            <w:tcBorders>
              <w:bottom w:val="double" w:sz="8" w:space="0" w:color="000000"/>
            </w:tcBorders>
            <w:tcMar>
              <w:bottom w:w="28" w:type="dxa"/>
            </w:tcMar>
            <w:vAlign w:val="center"/>
          </w:tcPr>
          <w:p>
            <w:pPr>
              <w:pStyle w:val="TableContents"/>
              <w:bidi w:val="0"/>
              <w:spacing w:before="0" w:after="283"/>
              <w:jc w:val="left"/>
              <w:rPr/>
            </w:pPr>
            <w:r>
              <w:rPr/>
              <w:t>$</w:t>
            </w:r>
          </w:p>
        </w:tc>
        <w:tc>
          <w:tcPr>
            <w:tcW w:w="1777" w:type="dxa"/>
            <w:tcBorders>
              <w:bottom w:val="double" w:sz="8" w:space="0" w:color="000000"/>
            </w:tcBorders>
            <w:tcMar>
              <w:bottom w:w="28" w:type="dxa"/>
            </w:tcMar>
            <w:vAlign w:val="center"/>
          </w:tcPr>
          <w:p>
            <w:pPr>
              <w:pStyle w:val="TableContents"/>
              <w:bidi w:val="0"/>
              <w:spacing w:before="0" w:after="283"/>
              <w:jc w:val="right"/>
              <w:rPr/>
            </w:pPr>
            <w:r>
              <w:rPr/>
              <w:t>11,598,114</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Loans are summarized by business line which does not align to how the Company assesses credit risk in the allowance for credit losses under CECL.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Total loans were $11.87 billion and $11.60 billion at June 30, 2026 and December 31, 2025, respectively. Period end loans increased by $276.0 million from December 31, 2025 to June 30, 2026, which included a $52.4 million decrease in the other consumer and residential solar portfolios, which are in a planned run-off status. From December 31, 2025 to June 30, 2026 C&amp;I loans increased $83.1 million to $1.76 billion; CRE loans increased $94.6 million to $4.89 billion; and total consumer loans increased $98.2 million to $5.23 billion. Total loans represent approximately 73.2% of assets as of June 30, 2026, as compared to 72.5% as of December 31,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Loans in the C&amp;I and CRE portfolios consist primarily of loans extended to small and medium-sized entities. The Company offers a variety of loan products tailored to meet the needs of commercial customers including term loans, time notes and lines of credit. Such loans are made available to businesses for working capital needs such as inventory and receivables, business expansion, equipment purchases, livestock purchases and seasonal crop expenses. These loans are typically collateralized by business assets such as equipment, accounts receivable and perishable agricultural products, which are inherently subject to industry price volatility. The Company extends CRE loans to support real estate transactions, including acquisitions, refinancings, expansions and property improvements to both commercial and agricultural properties. These loans are secured by liens on real estate assets, covering a spectrum of properties including apartments, commercial structures, healthcare facilities and others, whether occupied by owners or non-owners. Risks associated with the CRE portfolio pertain to the borrowers’ ability to meet interest and principal payments over the life of the loan, as well as their ability to secure financing upon the loan’s maturity. The Company has a risk management framework that includes rigorous underwriting standards, targeted portfolio stress testing, interest rate sensitivities on commercial borrowers and comprehensive credit risk monitoring mechanisms. The Company remains vigilant in monitoring market trends, economic indicators and regulatory developments to promptly adapt our risk management strategies as needed.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Within the CRE portfolio, approximately 79% are comprised of Non-Owner Occupied CRE, with the remaining 21% being Owner-Occupied CRE. Non-Owner Occupied CRE includes diverse sectors across the Company’s markets such as residential rental properties (45%) and office spaces (13%), along with retail, manufacturing, mixed use, hotels and others. As of June 30, 2026 and December 31, 2025, the total CRE construction and development loans amounted to $431.1 million and $405.3 million, respectively.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Allowance for Credit Losses, Provision for Loan Losses and Nonperforming Assets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Management considers the accounting policy relating to the allowance for credit losses to be a critical estimate given the degree of judgment exercised in evaluating the level of the allowance required to estimate expected credit losses over the expected contractual life of our loan portfolio and the material effect that such judgments can have on the consolidated results of operations.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CECL methodology requires an estimate of the credit losses expected over the life of a loan (or pool of loans). The allowance for credit losses is a valuation account that is deducted from, or added to, the loans’ amortized cost basis to present the net, lifetime amount expected to be collected on the loans. Loan losses are charged off against the allowance when management believes a loan balance is confirmed to be uncollectible. Expected recoveries do not exceed the aggregate of amounts previously charged-off and expected to be charged-off.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Required additions or reductions to the allowance for credit losses are made periodically by charges or credits to the provision for loan losses. These are necessary to maintain the allowance at a level which management believes is reasonably reflective of the overall loss expected over the contractual life of the loan portfolio, adjusted for expected prepayments and curtailments. While management uses available information to recognize losses on loans, additions or reductions to the allowance may fluctuate from one reporting period to another. These fluctuations are reflective of changes in risk associated with portfolio content and/or changes in management’s assessment of any or all of the determining factors discussed above. Management considers the allowance for credit losses to be appropriate based on evaluation and analysis of the loan portfolio.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Management estimates the allowance for credit losses using relevant available information, from internal and external sources, related to past events, current conditions, and reasonable and supportable forecasts. Historical credit loss experience provides the basis for the estimation of expected credit losses. Company historical loss experience was supplemented with peer information when there was insufficient loss data for the Company. Significant management judgment is required at each point in the measurement process.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is measured on a collective (pool) basis, with both a quantitative and qualitative analysis that is applied on a quarterly basis, when similar risk characteristics exist. The respective quantitative allowance for each segment is measured using an econometric, discounted PD and LGD modeling methodology in which distinct, segment-specific multi-variate regression models are applied to multiple, probabilistically weighted external economic forecasts. Under the discounted cash flows methodology, expected credit losses are estimated over the effective life of the loans by measuring the difference between the net present value of modeled cash flows and amortized cost basis. After quantitative considerations, management applies additional qualitative adjustments so that the allowance for credit loss is reflective of the estimate of lifetime losses that exist in the loan portfolio as of the balance sheet date.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Portfolio segment is defined as the level at which an entity develops and documents a systematic methodology to determine its allowance for credit losses. Consistent with CECL guidance, management has pooled loans with similar risk characteristics and identified segments for estimating loss based on type of borrower and collateral which is generally based upon federal call report segmentation and have been combined or subsegmented as needed to ensure loans of similar risk profiles are appropriately pooled.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Additional information about our Allowance for Credit Losses is included in Note 7 to the unaudited interim consolidated financial statements in this Quarterly Report on Form 10-Q as well as in the “Critical Accounting Estimates” section of the Management’s Discussion and Analysis of Financial Condition and Results of Operations. The Company’s management considers the allowance for credit losses to be appropriate based on evaluation and analysis of the loan portfolio.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totaled $140.5 million at June 30, 2026, compared to $138.6 million at March 31, 2026 and $140.2 million at June 30, 2025. The allowance for credit losses as a percentage of loans was 1.18% at June 30, 2026, compared to 1.20% at March 31, 2026 and 1.21% at June 30, 2025. The allowance for credit losses was 215.13% of nonperforming loans at June 30, 2026, compared to 226.27% at March 31, 2026 and to 302.21% at June 30, 2025. The allowance for credit losses as of June 30, 2026 increased compared to the allowance estimates as of March 31, 2026, primarily due to providing for loan growth and slight deterioration in the economic forecast. These increases to the allowance for credit losses were partially offset by accelerated prepayment speeds and the change in loan composition and balances including reductions driven by other consumer and residential solar portfolios that are in a planned run-off status.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allowance for credit losses as of June 30, 2026 increased compared to the allowance estimates as of June 30, 2025, primarily due to providing for the second quarter of 2026 loan growth, change in scenario weightings and the establishment of specific reserves for individually evaluated loans in the first quarter of 2026. These increases to the allowance for credit losses were largely offset by model adjustments, accelerated prepayment speeds and the changes in loan composition and balances including reductions driven by other consumer and residential solar portfolios that are in a planned run-off status. First quarter 2026 model adjustments lowered the allowance, as updates from the annual model review and recalibration process incorporated recent delinquency and loss experience which reflected improved default estimates across most portfolio segments.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provision for loan losses was $6.1 million for the three months ended June 30, 2026, compared to $5.6 million in the prior quarter and $17.8 million for the same period in the prior year. Provision expense increased from the prior quarter primarily due to providing for the second quarter of 2026 loan growth, which was partially offset by a decrease in net charge-offs in the current quarter. Provision expense decreased from the same period in the prior year primarily due to $13.0 million of acquisition-related provision for loan losses for non-PCD loans acquired from Evans recorded in the second quarter of 2025. Net charge-offs totaled $4.2 million during the three months ended June 30, 2026, compared to net charge-offs of $5.0 million during the first quarter of 2026 and $2.4 million in the second quarter of 2025. Net charge-offs to average loans were 15 bps for the three months ended June 30, 2026, compared to 17 bps for the first quarter of 2026 and 9 bps for the three months ended June 30, 2025.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provision for loan losses was $11.7 million for the six months ended June 30, 2026, compared to $25.4 million for the six months ended June 30, 2025. Provision expense decreased from the same period in the prior year primarily due to $13.0 million of acquisition-related provision for loan losses for non-PCD loans acquired from Evans recorded in 2025. Net charge-offs totaled $9.2 million during the six months ended June 30, 2026, compared to net charge-offs of $8.9 million during the six months ended June 30, 2025. Net charge-offs to average loans were 16 bps for the six months ended June 30, 2026, compared to 17 bps for the six months ended June 30, 2025.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June 30, 2026 and March 31, 2026, the unfunded commitment reserve totaled $5.5 million, compared to $6.2 million as of June 30, 2025. The decrease from the same period in the prior year was caused by a decrease in expected loss rates, partially offset by a slight increase in pipeline exposure.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Nonperforming assets consist of nonaccrual loans, loans over 90 days past due and still accruing, troubled loan modifications, OREO and nonperforming securities. Loans are generally placed on nonaccrual when principal or interest payments become 90 days past due, unless the loan is well secured and in the process of collection. Loans may also be placed on nonaccrual when circumstances indicate that the borrower may be unable to meet the contractual principal or interest payments. The threshold for evaluating commercial loans risk graded substandard or doubtful, and nonperforming loans specifically evaluated for individual credit loss is $1.0 million. OREO represents property acquired through foreclosure and is valued at the lower of the carrying amount or fair value, less any estimated disposal costs.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5590"/>
        <w:gridCol w:w="90"/>
        <w:gridCol w:w="181"/>
        <w:gridCol w:w="764"/>
        <w:gridCol w:w="290"/>
        <w:gridCol w:w="90"/>
        <w:gridCol w:w="90"/>
        <w:gridCol w:w="410"/>
        <w:gridCol w:w="290"/>
        <w:gridCol w:w="90"/>
        <w:gridCol w:w="201"/>
        <w:gridCol w:w="840"/>
        <w:gridCol w:w="289"/>
        <w:gridCol w:w="106"/>
        <w:gridCol w:w="106"/>
        <w:gridCol w:w="484"/>
        <w:gridCol w:w="294"/>
      </w:tblGrid>
      <w:tr>
        <w:trPr/>
        <w:tc>
          <w:tcPr>
            <w:tcW w:w="5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June 30, 2026</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r>
          </w:p>
        </w:tc>
        <w:tc>
          <w:tcPr>
            <w:tcW w:w="2026"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December 31, 2025</w:t>
            </w:r>
            <w:r>
              <w:rPr/>
              <w:t xml:space="preserve"> </w:t>
            </w:r>
          </w:p>
        </w:tc>
        <w:tc>
          <w:tcPr>
            <w:tcW w:w="294"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5590" w:type="dxa"/>
            <w:tcBorders>
              <w:bottom w:val="single" w:sz="12" w:space="0" w:color="000000"/>
            </w:tcBorders>
            <w:tcMar>
              <w:bottom w:w="28" w:type="dxa"/>
            </w:tcMar>
            <w:vAlign w:val="center"/>
          </w:tcPr>
          <w:p>
            <w:pPr>
              <w:pStyle w:val="TableContents"/>
              <w:bidi w:val="0"/>
              <w:spacing w:before="0" w:after="0"/>
              <w:ind w:left="0" w:right="0" w:hanging="144"/>
              <w:jc w:val="left"/>
              <w:rPr/>
            </w:pPr>
            <w:r>
              <w:rPr>
                <w:i/>
              </w:rPr>
              <w:t>(Dollars in thousands)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pPr>
            <w:r>
              <w:rPr>
                <w:b/>
              </w:rPr>
              <w:t>%</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41" w:type="dxa"/>
            <w:gridSpan w:val="2"/>
            <w:tcBorders>
              <w:bottom w:val="single" w:sz="12" w:space="0" w:color="000000"/>
            </w:tcBorders>
            <w:tcMar>
              <w:bottom w:w="28" w:type="dxa"/>
            </w:tcMar>
            <w:vAlign w:val="center"/>
          </w:tcPr>
          <w:p>
            <w:pPr>
              <w:pStyle w:val="TableContents"/>
              <w:bidi w:val="0"/>
              <w:spacing w:before="0" w:after="283"/>
              <w:jc w:val="center"/>
              <w:rPr/>
            </w:pPr>
            <w:r>
              <w:rPr>
                <w:b/>
              </w:rPr>
              <w:t>Amount</w:t>
            </w:r>
            <w:r>
              <w:rPr/>
              <w:t xml:space="preserve"> </w:t>
            </w:r>
          </w:p>
        </w:tc>
        <w:tc>
          <w:tcPr>
            <w:tcW w:w="289"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6"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pPr>
            <w:r>
              <w:rPr>
                <w:b/>
              </w:rPr>
              <w:t>%</w:t>
            </w:r>
            <w:r>
              <w:rPr/>
              <w:t xml:space="preserve"> </w:t>
            </w:r>
          </w:p>
        </w:tc>
        <w:tc>
          <w:tcPr>
            <w:tcW w:w="294"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5590" w:type="dxa"/>
            <w:tcBorders/>
            <w:vAlign w:val="center"/>
          </w:tcPr>
          <w:p>
            <w:pPr>
              <w:pStyle w:val="TableContents"/>
              <w:bidi w:val="0"/>
              <w:spacing w:before="0" w:after="0"/>
              <w:ind w:left="0" w:right="0" w:hanging="144"/>
              <w:jc w:val="left"/>
              <w:rPr/>
            </w:pPr>
            <w:r>
              <w:rPr>
                <w:b/>
              </w:rPr>
              <w:t>Nonaccrual loans:</w:t>
            </w:r>
            <w:r>
              <w:rPr/>
              <w:t xml:space="preserve">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5590" w:type="dxa"/>
            <w:tcBorders/>
            <w:shd w:fill="CCEEFF" w:val="clear"/>
            <w:vAlign w:val="center"/>
          </w:tcPr>
          <w:p>
            <w:pPr>
              <w:pStyle w:val="TableContents"/>
              <w:bidi w:val="0"/>
              <w:spacing w:before="0" w:after="0"/>
              <w:ind w:left="0" w:right="0" w:hanging="144"/>
              <w:jc w:val="left"/>
              <w:rPr/>
            </w:pPr>
            <w:r>
              <w:rPr/>
              <w:t xml:space="preserve">Commercial </w:t>
            </w:r>
          </w:p>
        </w:tc>
        <w:tc>
          <w:tcPr>
            <w:tcW w:w="9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b/>
              </w:rPr>
            </w:pPr>
            <w:r>
              <w:rPr>
                <w:b/>
              </w:rPr>
              <w:t>$</w:t>
            </w:r>
          </w:p>
        </w:tc>
        <w:tc>
          <w:tcPr>
            <w:tcW w:w="764" w:type="dxa"/>
            <w:tcBorders/>
            <w:shd w:fill="CCEEFF" w:val="clear"/>
            <w:vAlign w:val="center"/>
          </w:tcPr>
          <w:p>
            <w:pPr>
              <w:pStyle w:val="TableContents"/>
              <w:bidi w:val="0"/>
              <w:spacing w:before="0" w:after="283"/>
              <w:jc w:val="right"/>
              <w:rPr>
                <w:b/>
              </w:rPr>
            </w:pPr>
            <w:r>
              <w:rPr>
                <w:b/>
              </w:rPr>
              <w:t>40,559</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b/>
              </w:rPr>
            </w:pPr>
            <w:r>
              <w:rPr>
                <w:b/>
              </w:rPr>
              <w:t>64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19,934</w:t>
            </w:r>
          </w:p>
        </w:tc>
        <w:tc>
          <w:tcPr>
            <w:tcW w:w="28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45</w:t>
            </w:r>
          </w:p>
        </w:tc>
        <w:tc>
          <w:tcPr>
            <w:tcW w:w="294" w:type="dxa"/>
            <w:tcBorders/>
            <w:shd w:fill="CCEEFF" w:val="clear"/>
            <w:vAlign w:val="center"/>
          </w:tcPr>
          <w:p>
            <w:pPr>
              <w:pStyle w:val="TableContents"/>
              <w:bidi w:val="0"/>
              <w:spacing w:before="0" w:after="283"/>
              <w:jc w:val="left"/>
              <w:rPr/>
            </w:pPr>
            <w:r>
              <w:rPr/>
              <w:t>%</w:t>
            </w:r>
          </w:p>
        </w:tc>
      </w:tr>
      <w:tr>
        <w:trPr/>
        <w:tc>
          <w:tcPr>
            <w:tcW w:w="5590" w:type="dxa"/>
            <w:tcBorders/>
            <w:vAlign w:val="center"/>
          </w:tcPr>
          <w:p>
            <w:pPr>
              <w:pStyle w:val="TableContents"/>
              <w:bidi w:val="0"/>
              <w:spacing w:before="0" w:after="0"/>
              <w:ind w:left="0" w:right="0" w:hanging="144"/>
              <w:jc w:val="left"/>
              <w:rPr/>
            </w:pPr>
            <w:r>
              <w:rPr/>
              <w:t xml:space="preserve">Residential </w:t>
            </w:r>
          </w:p>
        </w:tc>
        <w:tc>
          <w:tcPr>
            <w:tcW w:w="90"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b/>
              </w:rPr>
            </w:pPr>
            <w:r>
              <w:rPr>
                <w:b/>
              </w:rPr>
              <w:t>19,133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b/>
              </w:rPr>
            </w:pPr>
            <w:r>
              <w:rPr>
                <w:b/>
              </w:rPr>
              <w:t>30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21,264</w:t>
            </w:r>
          </w:p>
        </w:tc>
        <w:tc>
          <w:tcPr>
            <w:tcW w:w="28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47</w:t>
            </w:r>
          </w:p>
        </w:tc>
        <w:tc>
          <w:tcPr>
            <w:tcW w:w="294" w:type="dxa"/>
            <w:tcBorders/>
            <w:vAlign w:val="center"/>
          </w:tcPr>
          <w:p>
            <w:pPr>
              <w:pStyle w:val="TableContents"/>
              <w:bidi w:val="0"/>
              <w:spacing w:before="0" w:after="283"/>
              <w:jc w:val="left"/>
              <w:rPr/>
            </w:pPr>
            <w:r>
              <w:rPr/>
              <w:t>%</w:t>
            </w:r>
          </w:p>
        </w:tc>
      </w:tr>
      <w:tr>
        <w:trPr/>
        <w:tc>
          <w:tcPr>
            <w:tcW w:w="5590" w:type="dxa"/>
            <w:tcBorders/>
            <w:shd w:fill="CCEEFF" w:val="clear"/>
            <w:vAlign w:val="center"/>
          </w:tcPr>
          <w:p>
            <w:pPr>
              <w:pStyle w:val="TableContents"/>
              <w:bidi w:val="0"/>
              <w:spacing w:before="0" w:after="0"/>
              <w:ind w:left="0" w:right="0" w:hanging="144"/>
              <w:jc w:val="left"/>
              <w:rPr/>
            </w:pPr>
            <w:r>
              <w:rPr/>
              <w:t xml:space="preserve">Consumer </w:t>
            </w:r>
          </w:p>
        </w:tc>
        <w:tc>
          <w:tcPr>
            <w:tcW w:w="9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b/>
              </w:rPr>
            </w:pPr>
            <w:r>
              <w:rPr>
                <w:b/>
              </w:rPr>
              <w:t>2,849</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b/>
              </w:rPr>
            </w:pPr>
            <w:r>
              <w:rPr>
                <w:b/>
              </w:rPr>
              <w:t>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3,093</w:t>
            </w:r>
          </w:p>
        </w:tc>
        <w:tc>
          <w:tcPr>
            <w:tcW w:w="28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7</w:t>
            </w:r>
          </w:p>
        </w:tc>
        <w:tc>
          <w:tcPr>
            <w:tcW w:w="294" w:type="dxa"/>
            <w:tcBorders/>
            <w:shd w:fill="CCEEFF" w:val="clear"/>
            <w:vAlign w:val="center"/>
          </w:tcPr>
          <w:p>
            <w:pPr>
              <w:pStyle w:val="TableContents"/>
              <w:bidi w:val="0"/>
              <w:spacing w:before="0" w:after="283"/>
              <w:jc w:val="left"/>
              <w:rPr/>
            </w:pPr>
            <w:r>
              <w:rPr/>
              <w:t>%</w:t>
            </w:r>
          </w:p>
        </w:tc>
      </w:tr>
      <w:tr>
        <w:trPr/>
        <w:tc>
          <w:tcPr>
            <w:tcW w:w="559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Troubled loan modifications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tcMar>
              <w:bottom w:w="28" w:type="dxa"/>
            </w:tcMar>
            <w:vAlign w:val="center"/>
          </w:tcPr>
          <w:p>
            <w:pPr>
              <w:pStyle w:val="TableContents"/>
              <w:bidi w:val="0"/>
              <w:spacing w:before="0" w:after="283"/>
              <w:jc w:val="right"/>
              <w:rPr>
                <w:b/>
              </w:rPr>
            </w:pPr>
            <w:r>
              <w:rPr>
                <w:b/>
              </w:rPr>
              <w:t>357</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b/>
              </w:rPr>
            </w:pPr>
            <w:r>
              <w:rPr>
                <w:b/>
              </w:rPr>
              <w:t>1</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301</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right"/>
              <w:rPr/>
            </w:pPr>
            <w:r>
              <w:rPr/>
              <w:t>1</w:t>
            </w:r>
          </w:p>
        </w:tc>
        <w:tc>
          <w:tcPr>
            <w:tcW w:w="294"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559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nonaccrual loans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62,898</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44,592</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9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5590" w:type="dxa"/>
            <w:tcBorders/>
            <w:vAlign w:val="center"/>
          </w:tcPr>
          <w:p>
            <w:pPr>
              <w:pStyle w:val="TableContents"/>
              <w:bidi w:val="0"/>
              <w:spacing w:before="0" w:after="0"/>
              <w:ind w:left="0" w:right="0" w:hanging="144"/>
              <w:jc w:val="left"/>
              <w:rPr/>
            </w:pPr>
            <w:r>
              <w:rPr>
                <w:b/>
              </w:rPr>
              <w:t>Loans over 90 days past due and still accruing:</w:t>
            </w:r>
            <w:r>
              <w:rPr/>
              <w:t xml:space="preserve">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5590" w:type="dxa"/>
            <w:tcBorders/>
            <w:shd w:fill="CCEEFF" w:val="clear"/>
            <w:vAlign w:val="center"/>
          </w:tcPr>
          <w:p>
            <w:pPr>
              <w:pStyle w:val="TableContents"/>
              <w:bidi w:val="0"/>
              <w:spacing w:before="0" w:after="0"/>
              <w:ind w:left="0" w:right="0" w:hanging="144"/>
              <w:jc w:val="left"/>
              <w:rPr/>
            </w:pPr>
            <w:r>
              <w:rPr/>
              <w:t xml:space="preserve">Commercial </w:t>
            </w:r>
          </w:p>
        </w:tc>
        <w:tc>
          <w:tcPr>
            <w:tcW w:w="9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b/>
              </w:rPr>
            </w:pPr>
            <w:r>
              <w:rPr>
                <w:b/>
              </w:rPr>
              <w:t>$</w:t>
            </w:r>
          </w:p>
        </w:tc>
        <w:tc>
          <w:tcPr>
            <w:tcW w:w="764" w:type="dxa"/>
            <w:tcBorders/>
            <w:shd w:fill="CCEEFF" w:val="clear"/>
            <w:vAlign w:val="center"/>
          </w:tcPr>
          <w:p>
            <w:pPr>
              <w:pStyle w:val="TableContents"/>
              <w:bidi w:val="0"/>
              <w:spacing w:before="0" w:after="283"/>
              <w:jc w:val="right"/>
              <w:rPr>
                <w:b/>
              </w:rPr>
            </w:pPr>
            <w:r>
              <w:rPr>
                <w:b/>
              </w:rPr>
              <w:t xml:space="preserve">-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b/>
              </w:rPr>
            </w:pPr>
            <w:r>
              <w:rPr>
                <w:b/>
              </w:rPr>
              <w:t xml:space="preserve">-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2,220</w:t>
            </w:r>
          </w:p>
        </w:tc>
        <w:tc>
          <w:tcPr>
            <w:tcW w:w="28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31</w:t>
            </w:r>
          </w:p>
        </w:tc>
        <w:tc>
          <w:tcPr>
            <w:tcW w:w="294" w:type="dxa"/>
            <w:tcBorders/>
            <w:shd w:fill="CCEEFF" w:val="clear"/>
            <w:vAlign w:val="center"/>
          </w:tcPr>
          <w:p>
            <w:pPr>
              <w:pStyle w:val="TableContents"/>
              <w:bidi w:val="0"/>
              <w:spacing w:before="0" w:after="283"/>
              <w:jc w:val="left"/>
              <w:rPr/>
            </w:pPr>
            <w:r>
              <w:rPr/>
              <w:t>%</w:t>
            </w:r>
          </w:p>
        </w:tc>
      </w:tr>
      <w:tr>
        <w:trPr/>
        <w:tc>
          <w:tcPr>
            <w:tcW w:w="5590" w:type="dxa"/>
            <w:tcBorders/>
            <w:vAlign w:val="center"/>
          </w:tcPr>
          <w:p>
            <w:pPr>
              <w:pStyle w:val="TableContents"/>
              <w:bidi w:val="0"/>
              <w:spacing w:before="0" w:after="0"/>
              <w:ind w:left="0" w:right="0" w:hanging="144"/>
              <w:jc w:val="left"/>
              <w:rPr/>
            </w:pPr>
            <w:r>
              <w:rPr/>
              <w:t xml:space="preserve">Residential </w:t>
            </w:r>
          </w:p>
        </w:tc>
        <w:tc>
          <w:tcPr>
            <w:tcW w:w="90"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b/>
              </w:rPr>
            </w:pPr>
            <w:r>
              <w:rPr>
                <w:b/>
              </w:rPr>
              <w:t>681</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b/>
              </w:rPr>
            </w:pPr>
            <w:r>
              <w:rPr>
                <w:b/>
              </w:rPr>
              <w:t>28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2,366</w:t>
            </w:r>
          </w:p>
        </w:tc>
        <w:tc>
          <w:tcPr>
            <w:tcW w:w="28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righ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33</w:t>
            </w:r>
          </w:p>
        </w:tc>
        <w:tc>
          <w:tcPr>
            <w:tcW w:w="294" w:type="dxa"/>
            <w:tcBorders/>
            <w:vAlign w:val="center"/>
          </w:tcPr>
          <w:p>
            <w:pPr>
              <w:pStyle w:val="TableContents"/>
              <w:bidi w:val="0"/>
              <w:spacing w:before="0" w:after="283"/>
              <w:jc w:val="left"/>
              <w:rPr/>
            </w:pPr>
            <w:r>
              <w:rPr/>
              <w:t>%</w:t>
            </w:r>
          </w:p>
        </w:tc>
      </w:tr>
      <w:tr>
        <w:trPr/>
        <w:tc>
          <w:tcPr>
            <w:tcW w:w="5590" w:type="dxa"/>
            <w:tcBorders>
              <w:bottom w:val="single" w:sz="12" w:space="0" w:color="000000"/>
            </w:tcBorders>
            <w:shd w:fill="CCEEFF" w:val="clear"/>
            <w:tcMar>
              <w:bottom w:w="28" w:type="dxa"/>
            </w:tcMar>
            <w:vAlign w:val="center"/>
          </w:tcPr>
          <w:p>
            <w:pPr>
              <w:pStyle w:val="TableContents"/>
              <w:bidi w:val="0"/>
              <w:spacing w:before="0" w:after="0"/>
              <w:ind w:left="0" w:right="0" w:hanging="144"/>
              <w:jc w:val="left"/>
              <w:rPr/>
            </w:pPr>
            <w:r>
              <w:rPr/>
              <w:t xml:space="preserve">Consumer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1,729</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72</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2,545</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29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r>
      <w:tr>
        <w:trPr/>
        <w:tc>
          <w:tcPr>
            <w:tcW w:w="559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Total loans over 90 days past due and still accruing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64" w:type="dxa"/>
            <w:tcBorders>
              <w:bottom w:val="single" w:sz="12" w:space="0" w:color="000000"/>
            </w:tcBorders>
            <w:tcMar>
              <w:bottom w:w="28" w:type="dxa"/>
            </w:tcMar>
            <w:vAlign w:val="center"/>
          </w:tcPr>
          <w:p>
            <w:pPr>
              <w:pStyle w:val="TableContents"/>
              <w:bidi w:val="0"/>
              <w:spacing w:before="0" w:after="283"/>
              <w:jc w:val="right"/>
              <w:rPr>
                <w:b/>
              </w:rPr>
            </w:pPr>
            <w:r>
              <w:rPr>
                <w:b/>
              </w:rPr>
              <w:t>2,410</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b/>
              </w:rPr>
            </w:pPr>
            <w:r>
              <w:rPr>
                <w:b/>
              </w:rPr>
              <w:t>100</w:t>
            </w:r>
          </w:p>
        </w:tc>
        <w:tc>
          <w:tcPr>
            <w:tcW w:w="29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7,131</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294"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5590" w:type="dxa"/>
            <w:tcBorders/>
            <w:shd w:fill="CCEEFF" w:val="clear"/>
            <w:vAlign w:val="center"/>
          </w:tcPr>
          <w:p>
            <w:pPr>
              <w:pStyle w:val="TableContents"/>
              <w:bidi w:val="0"/>
              <w:spacing w:before="0" w:after="0"/>
              <w:ind w:left="0" w:right="0" w:hanging="144"/>
              <w:jc w:val="left"/>
              <w:rPr/>
            </w:pPr>
            <w:r>
              <w:rPr/>
              <w:t xml:space="preserve">Total nonperforming loans </w:t>
            </w:r>
          </w:p>
        </w:tc>
        <w:tc>
          <w:tcPr>
            <w:tcW w:w="9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b/>
              </w:rPr>
            </w:pPr>
            <w:r>
              <w:rPr>
                <w:b/>
              </w:rPr>
              <w:t>$</w:t>
            </w:r>
          </w:p>
        </w:tc>
        <w:tc>
          <w:tcPr>
            <w:tcW w:w="764" w:type="dxa"/>
            <w:tcBorders/>
            <w:shd w:fill="CCEEFF" w:val="clear"/>
            <w:vAlign w:val="center"/>
          </w:tcPr>
          <w:p>
            <w:pPr>
              <w:pStyle w:val="TableContents"/>
              <w:bidi w:val="0"/>
              <w:spacing w:before="0" w:after="283"/>
              <w:jc w:val="right"/>
              <w:rPr>
                <w:b/>
              </w:rPr>
            </w:pPr>
            <w:r>
              <w:rPr>
                <w:b/>
              </w:rPr>
              <w:t>65,308</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51,723</w:t>
            </w:r>
          </w:p>
        </w:tc>
        <w:tc>
          <w:tcPr>
            <w:tcW w:w="28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5590" w:type="dxa"/>
            <w:tcBorders>
              <w:bottom w:val="single" w:sz="12" w:space="0" w:color="000000"/>
            </w:tcBorders>
            <w:tcMar>
              <w:bottom w:w="28" w:type="dxa"/>
            </w:tcMar>
            <w:vAlign w:val="center"/>
          </w:tcPr>
          <w:p>
            <w:pPr>
              <w:pStyle w:val="TableContents"/>
              <w:bidi w:val="0"/>
              <w:spacing w:before="0" w:after="0"/>
              <w:ind w:left="0" w:right="0" w:hanging="144"/>
              <w:jc w:val="left"/>
              <w:rPr/>
            </w:pPr>
            <w:r>
              <w:rPr/>
              <w:t xml:space="preserve">OREO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tcMar>
              <w:bottom w:w="28" w:type="dxa"/>
            </w:tcMar>
            <w:vAlign w:val="center"/>
          </w:tcPr>
          <w:p>
            <w:pPr>
              <w:pStyle w:val="TableContents"/>
              <w:bidi w:val="0"/>
              <w:spacing w:before="0" w:after="283"/>
              <w:jc w:val="right"/>
              <w:rPr>
                <w:b/>
              </w:rPr>
            </w:pPr>
            <w:r>
              <w:rPr>
                <w:b/>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402</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left"/>
              <w:rPr/>
            </w:pPr>
            <w:r>
              <w:rPr/>
              <w:t> </w:t>
            </w:r>
          </w:p>
        </w:tc>
        <w:tc>
          <w:tcPr>
            <w:tcW w:w="29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590" w:type="dxa"/>
            <w:tcBorders>
              <w:bottom w:val="double" w:sz="8" w:space="0" w:color="000000"/>
            </w:tcBorders>
            <w:shd w:fill="CCEEFF" w:val="clear"/>
            <w:tcMar>
              <w:bottom w:w="28" w:type="dxa"/>
            </w:tcMar>
            <w:vAlign w:val="center"/>
          </w:tcPr>
          <w:p>
            <w:pPr>
              <w:pStyle w:val="TableContents"/>
              <w:bidi w:val="0"/>
              <w:spacing w:before="0" w:after="0"/>
              <w:ind w:left="0" w:right="0" w:hanging="144"/>
              <w:jc w:val="left"/>
              <w:rPr/>
            </w:pPr>
            <w:r>
              <w:rPr/>
              <w:t xml:space="preserve">Total nonperforming assets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181" w:type="dxa"/>
            <w:tcBorders>
              <w:bottom w:val="doub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64" w:type="dxa"/>
            <w:tcBorders>
              <w:bottom w:val="double" w:sz="8" w:space="0" w:color="000000"/>
            </w:tcBorders>
            <w:shd w:fill="CCEEFF" w:val="clear"/>
            <w:tcMar>
              <w:bottom w:w="28" w:type="dxa"/>
            </w:tcMar>
            <w:vAlign w:val="center"/>
          </w:tcPr>
          <w:p>
            <w:pPr>
              <w:pStyle w:val="TableContents"/>
              <w:bidi w:val="0"/>
              <w:spacing w:before="0" w:after="283"/>
              <w:jc w:val="right"/>
              <w:rPr>
                <w:b/>
              </w:rPr>
            </w:pPr>
            <w:r>
              <w:rPr>
                <w:b/>
              </w:rPr>
              <w:t>65,308</w:t>
            </w:r>
          </w:p>
        </w:tc>
        <w:tc>
          <w:tcPr>
            <w:tcW w:w="2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41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20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8" w:space="0" w:color="000000"/>
            </w:tcBorders>
            <w:shd w:fill="CCEEFF" w:val="clear"/>
            <w:tcMar>
              <w:bottom w:w="28" w:type="dxa"/>
            </w:tcMar>
            <w:vAlign w:val="center"/>
          </w:tcPr>
          <w:p>
            <w:pPr>
              <w:pStyle w:val="TableContents"/>
              <w:bidi w:val="0"/>
              <w:spacing w:before="0" w:after="283"/>
              <w:jc w:val="right"/>
              <w:rPr/>
            </w:pPr>
            <w:r>
              <w:rPr/>
              <w:t>52,125</w:t>
            </w:r>
          </w:p>
        </w:tc>
        <w:tc>
          <w:tcPr>
            <w:tcW w:w="28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9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before="0" w:after="0"/>
              <w:ind w:left="0" w:right="0" w:hanging="144"/>
              <w:jc w:val="left"/>
              <w:rPr/>
            </w:pPr>
            <w:r>
              <w:rPr/>
              <w:t xml:space="preserve">Total nonaccrual loans to total loans </w:t>
            </w:r>
          </w:p>
        </w:tc>
        <w:tc>
          <w:tcPr>
            <w:tcW w:w="90"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b/>
              </w:rPr>
            </w:pPr>
            <w:r>
              <w:rPr>
                <w:b/>
              </w:rPr>
              <w:t>0.53</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4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0.38</w:t>
            </w:r>
          </w:p>
        </w:tc>
        <w:tc>
          <w:tcPr>
            <w:tcW w:w="289"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5590" w:type="dxa"/>
            <w:tcBorders/>
            <w:shd w:fill="CCEEFF" w:val="clear"/>
            <w:vAlign w:val="center"/>
          </w:tcPr>
          <w:p>
            <w:pPr>
              <w:pStyle w:val="TableContents"/>
              <w:bidi w:val="0"/>
              <w:spacing w:before="0" w:after="0"/>
              <w:ind w:left="0" w:right="0" w:hanging="144"/>
              <w:jc w:val="left"/>
              <w:rPr/>
            </w:pPr>
            <w:r>
              <w:rPr/>
              <w:t xml:space="preserve">Total nonperforming loans to total loans </w:t>
            </w:r>
          </w:p>
        </w:tc>
        <w:tc>
          <w:tcPr>
            <w:tcW w:w="9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b/>
              </w:rPr>
            </w:pPr>
            <w:r>
              <w:rPr>
                <w:b/>
              </w:rPr>
              <w:t>0.55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0.45</w:t>
            </w:r>
          </w:p>
        </w:tc>
        <w:tc>
          <w:tcPr>
            <w:tcW w:w="289"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before="0" w:after="0"/>
              <w:ind w:left="0" w:right="0" w:hanging="144"/>
              <w:jc w:val="left"/>
              <w:rPr/>
            </w:pPr>
            <w:r>
              <w:rPr/>
              <w:t xml:space="preserve">Total nonperforming assets to total assets </w:t>
            </w:r>
          </w:p>
        </w:tc>
        <w:tc>
          <w:tcPr>
            <w:tcW w:w="90"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b/>
              </w:rPr>
            </w:pPr>
            <w:r>
              <w:rPr>
                <w:b/>
              </w:rPr>
              <w:t>0.40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4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0.33</w:t>
            </w:r>
          </w:p>
        </w:tc>
        <w:tc>
          <w:tcPr>
            <w:tcW w:w="289"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5590" w:type="dxa"/>
            <w:tcBorders/>
            <w:shd w:fill="CCEEFF" w:val="clear"/>
            <w:vAlign w:val="center"/>
          </w:tcPr>
          <w:p>
            <w:pPr>
              <w:pStyle w:val="TableContents"/>
              <w:bidi w:val="0"/>
              <w:spacing w:before="0" w:after="0"/>
              <w:ind w:left="0" w:right="0" w:hanging="144"/>
              <w:jc w:val="left"/>
              <w:rPr/>
            </w:pPr>
            <w:r>
              <w:rPr/>
              <w:t xml:space="preserve">Total allowance for loan losses to total nonperforming loans </w:t>
            </w:r>
          </w:p>
        </w:tc>
        <w:tc>
          <w:tcPr>
            <w:tcW w:w="90"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b/>
              </w:rPr>
            </w:pPr>
            <w:r>
              <w:rPr>
                <w:b/>
              </w:rPr>
              <w:t>215.13</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4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266.81</w:t>
            </w:r>
          </w:p>
        </w:tc>
        <w:tc>
          <w:tcPr>
            <w:tcW w:w="289"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before="0" w:after="0"/>
              <w:ind w:left="0" w:right="0" w:hanging="144"/>
              <w:jc w:val="left"/>
              <w:rPr/>
            </w:pPr>
            <w:r>
              <w:rPr/>
              <w:t xml:space="preserve">Total allowance for loan losses to nonaccrual loans </w:t>
            </w:r>
          </w:p>
        </w:tc>
        <w:tc>
          <w:tcPr>
            <w:tcW w:w="90"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b/>
              </w:rPr>
            </w:pPr>
            <w:r>
              <w:rPr>
                <w:b/>
              </w:rPr>
              <w:t>223.38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4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309.47</w:t>
            </w:r>
          </w:p>
        </w:tc>
        <w:tc>
          <w:tcPr>
            <w:tcW w:w="289"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Total nonperforming assets were $65.3 million at June 30, 2026, compared to $52.1 million at December 31, 2025 and $46.7 million at June 30, 2025. Nonperforming loans at June 30, 2026 were $65.3 million or 0.55% of total loans, compared with $51.7 million or 0.45% of total loans at December 31, 2025 and $46.4 million or 0.40% of total loans at June 30, 2025. The increase in nonperforming assets and nonperforming loans from the prior period was attributable to an increase in commercial nonaccrual loans, partially offset by a decrease in residential and consumer accruing loans past due over 90 days. The increase from June 30, 2025 is attributable to an increase in commercial nonaccrual loans. Total nonaccrual loans were $62.9 million or 0.53% of total loans at June 30, 2026, compared to $44.6 million or 0.38% of total loans at December 31, 2025 and $43.2 million or 0.37% of total loans at June 30, 2025. Past due loans as a percentage of total loans was 0.63% at June 30, 2026, up from 0.38% at December 31, 2025 and up from 0.38% at June 30,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addition to nonperforming loans discussed above, the Company has also identified approximately $228.7 million in potential problem loans at June 30, 2026 as compared to $271.8 million at December 31, 2025. Potential problem loans are loans that are currently performing, with a possibility of loss if weaknesses are not corrected. Such loans may need to be disclosed as nonperforming at some time in the future. Potential problem loans are classified by the Company’s loan rating system as “substandard.” The decrease in potential problem loans from December 31, 2025 is primarily due to the net migration of $26.0 million in commercial loan balances to pass status, due to improved borrower performance and an increase in commercial nonaccrual loan balances. Management cannot predict the extent to which economic conditions may worsen or other factors, which may impact borrowers and the potential problem loans. Accordingly, there can be no assurance that other loans will not become over 90 days past due, be placed on nonaccrual, become troubled loan modifications or require increased allowance coverage and provision for loan losses. To mitigate this risk the Company maintains a diversified loan portfolio, has no significant concentration in any particular industry and originates loans primarily within its footprint.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Deposits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Total deposits were $13.54 billion at June 30, 2026, up $38.1 million, or 0.3%, from December 31, 2025. As of June 30, 2026, there were $25.0 million of brokered time deposits, down from $98.9 million as of December 31, 2025. Demand, interest-bearing checking, savings and money market deposits increased, partially offset by a decrease in time deposits. The Company continues to experience growth within consumer and municipal business lines. The Company’s composition of total deposits is diverse and granular with over 611,000 accounts with an average per account balance of $22,129 as of June 30, 2026. As of June 30, 2026 and December 31, 2025 the estimated amounts of uninsured deposits based on the same methodologies and assumptions used for the bank regulatory reporting were $5.82 billion and $5.86 billion, respectively. Total average deposits increased $1.35 billion, or 11.1%, from the same period last year.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Borrowed Funds</w:t>
      </w:r>
      <w:r>
        <w:rPr>
          <w:rFonts w:ascii="TimesNewRoman;Times New Roman;Times;Baskerville;Georgia;serif" w:hAnsi="TimesNewRoman;Times New Roman;Times;Baskerville;Georgia;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Company’s borrowed funds consist of short-term borrowings and long-term debt. Short-term borrowings totaled $316.4 million at June 30, 2026 compared to $148.1 million at December 31, 2025. Long-term debt was $43.0 million at June 30, 2026 compared to $43.2 million at December 31,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For more information about the Company’s borrowing capacity and liquidity position, see “Liquidity Risk” below.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Subordinated Debt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subordinated notes assumed in connection with the Salisbury Bancorp, Inc. acquisition included $25.0 million of 3.50% fixed-to-floating rate subordinated notes due 2031. The subordinated notes, which qualified as Tier 2 capital, bore interest at an annual rate of 3.50%, payable quarterly in arrears commencing on June 30, 2021, and a floating rate of interest equivalent to the three-month SOFR plus a spread of 2.80%, payable quarterly in arrears commencing on June 30, 2026. On June 30, 2026, the Company redeemed these subordinated notes in full using existing liquidity sources.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of December 31, 2025 the subordinated debt net of fair value discount was $24.5 million.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Junior Subordinated Debt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connection with the Evans acquisition, the Company acquired Evans Capital Trust I, a statutory business trust wholly-owned by the Company, which issued $11.0 million in aggregate principal amount of floating rate preferred capital securities due November 23, 2034 to various investors and $0.3 million of common securities. As of the acquisition date, the fair value discount was $0.9 million which is being amortized into interest expense over the life of the debt instrument.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Collectively, the Company sponsors six business trusts, CNBF Capital Trust I, NBT Statutory Trust I, NBT Statutory Trust II, Alliance Financial Capital Trust I, Alliance Financial Capital Trust II and Evans Capital Trust I (collectively, the “Trusts”). </w:t>
      </w:r>
    </w:p>
    <w:p>
      <w:pPr>
        <w:pStyle w:val="TextBody"/>
        <w:bidi w:val="0"/>
        <w:spacing w:before="0" w:after="0"/>
        <w:jc w:val="left"/>
        <w:rPr/>
      </w:pPr>
      <w:r>
        <w:rPr/>
        <w:t> </w:t>
      </w:r>
    </w:p>
    <w:p>
      <w:pPr>
        <w:pStyle w:val="TextBody"/>
        <w:bidi w:val="0"/>
        <w:spacing w:before="0" w:after="0"/>
        <w:jc w:val="both"/>
        <w:rPr>
          <w:rFonts w:ascii="TimesNewRoman;Times New Roman;Times;Baskerville;Georgia;serif" w:hAnsi="TimesNewRoman;Times New Roman;Times;Baskerville;Georgia;serif"/>
          <w:spacing w:val="0"/>
          <w:sz w:val="20"/>
        </w:rPr>
      </w:pPr>
      <w:r>
        <w:rPr>
          <w:rFonts w:ascii="TimesNewRoman;Times New Roman;Times;Baskerville;Georgia;serif" w:hAnsi="TimesNewRoman;Times New Roman;Times;Baskerville;Georgia;serif"/>
          <w:spacing w:val="0"/>
          <w:sz w:val="20"/>
        </w:rPr>
        <w:t>Despite the fact that the Trusts are not included in the Company’s consolidated financial statements, $108 million of the $112 million in trust preferred securities issued by these subsidiary trusts was included in the Tier 1 capital of the Company for regulatory capital purposes as allowed by the FRB (NBT Bank owns $1.0 million of CNBF Trust I securities) through March 31, 2025. The Dodd-Frank Wall Street Reform and Consumer Protection Act of 2010 requires bank holding companies with assets greater than $500 million to be subject to the same capital requirements as insured depository institutions, meaning, for instance, that such bank holding companies will not be able to count trust preferred securities issued after May 19, 2010 as Tier 1 capital. The aforementioned Trusts are grandfathered with respect to this enactment based on their date of issuance. As of June 30, 2025 in connection with the completion of the Evans acquisition and the Company’s assets exceeding $15 billion, the Trusts are now included in Tier 2 capital of the Company for regulatory capital purposes.</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Capital Resources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Stockholders’ equity of $1.94 billion represented 11.99% of total assets at June 30, 2026 compared with $1.90 billion, or 11.85% of total assets, as of December 31, 2025. Stockholders’ equity increased $47.7 million from December 31, 2025 driven by net income generation of $104.2 million for the six months ended June 30, 2026, partially offset by dividends declared of $38.5 million, the repurchase of common stock of $14.0 million and a $6.5 million increase in accumulated other comprehensive loss reflecting the change in fair value securities available for sale.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purchased 68,595 shares of its common stock during the three months ended June 30, 2026, for a total of $3.0 million at an average price of $43.96 per share under its previously announced stock repurchase program. Under its stock repurchase program, the Company may repurchase shares of its common stock from time to time to mitigate the potential dilutive effects of stock-based incentive plans and other potential uses of common stock for corporate purposes. As of June 30, 2026, there were 1,431,405 shares available for repurchase under this program authorized on October 27, 2025, which is set to expire on December 31, 2027.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the capital ratios in the following table indicate, the Company remained “well capitalized” at June 30, 2026 under applicable bank regulatory requirements. Capital measurements are well in excess of regulatory minimum </w:t>
      </w:r>
      <w:r>
        <w:rPr>
          <w:rFonts w:ascii="TimesNewRoman;Times New Roman;Times;Baskerville;Georgia;serif" w:hAnsi="TimesNewRoman;Times New Roman;Times;Baskerville;Georgia;serif"/>
          <w:spacing w:val="0"/>
          <w:sz w:val="20"/>
        </w:rPr>
        <w:t>requirements</w:t>
      </w:r>
      <w:r>
        <w:rPr>
          <w:rFonts w:ascii="TimesNewRoman;Times New Roman;Times;Baskerville;Georgia;serif" w:hAnsi="TimesNewRoman;Times New Roman;Times;Baskerville;Georgia;serif"/>
          <w:sz w:val="20"/>
        </w:rPr>
        <w:t xml:space="preserve"> and meet the standard to be considered well capitalized for all periods presented. To be considered well capitalized, tier 1 leverage, common equity tier 1 capital, tier 1 capital and total risk-based capital ratios must be 5%, 6.5%, 8% and 10%, respectively. </w:t>
      </w:r>
    </w:p>
    <w:p>
      <w:pPr>
        <w:pStyle w:val="TextBody"/>
        <w:bidi w:val="0"/>
        <w:spacing w:before="0" w:after="0"/>
        <w:jc w:val="both"/>
        <w:rPr/>
      </w:pPr>
      <w:r>
        <w:rPr/>
        <w:t xml:space="preserve">  </w:t>
      </w:r>
    </w:p>
    <w:tbl>
      <w:tblPr>
        <w:tblW w:w="8738" w:type="dxa"/>
        <w:jc w:val="left"/>
        <w:tblInd w:w="0" w:type="dxa"/>
        <w:tblLayout w:type="fixed"/>
        <w:tblCellMar>
          <w:top w:w="0" w:type="dxa"/>
          <w:left w:w="0" w:type="dxa"/>
          <w:bottom w:w="0" w:type="dxa"/>
          <w:right w:w="0" w:type="dxa"/>
        </w:tblCellMar>
      </w:tblPr>
      <w:tblGrid>
        <w:gridCol w:w="4430"/>
        <w:gridCol w:w="90"/>
        <w:gridCol w:w="336"/>
        <w:gridCol w:w="1168"/>
        <w:gridCol w:w="290"/>
        <w:gridCol w:w="90"/>
        <w:gridCol w:w="456"/>
        <w:gridCol w:w="1588"/>
        <w:gridCol w:w="290"/>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430" w:type="dxa"/>
            <w:tcBorders>
              <w:bottom w:val="single" w:sz="12" w:space="0" w:color="000000"/>
            </w:tcBorders>
            <w:tcMar>
              <w:bottom w:w="28" w:type="dxa"/>
            </w:tcMar>
            <w:vAlign w:val="center"/>
          </w:tcPr>
          <w:p>
            <w:pPr>
              <w:pStyle w:val="TableContents"/>
              <w:bidi w:val="0"/>
              <w:spacing w:before="0" w:after="0"/>
              <w:ind w:left="0" w:right="0" w:hanging="144"/>
              <w:jc w:val="left"/>
              <w:rPr/>
            </w:pPr>
            <w:r>
              <w:rPr>
                <w:b/>
              </w:rPr>
              <w:t>Capital Measurements</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b/>
              </w:rPr>
              <w:t>June 30, 2026</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2025</w:t>
            </w:r>
            <w:r>
              <w:rPr/>
              <w:t xml:space="preserve"> </w:t>
            </w:r>
          </w:p>
        </w:tc>
        <w:tc>
          <w:tcPr>
            <w:tcW w:w="29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430" w:type="dxa"/>
            <w:tcBorders/>
            <w:shd w:fill="CCEEFF" w:val="clear"/>
            <w:vAlign w:val="center"/>
          </w:tcPr>
          <w:p>
            <w:pPr>
              <w:pStyle w:val="TableContents"/>
              <w:bidi w:val="0"/>
              <w:spacing w:before="0" w:after="283"/>
              <w:jc w:val="left"/>
              <w:rPr/>
            </w:pPr>
            <w:r>
              <w:rPr/>
              <w:t>Tier 1 leverage ratio</w:t>
            </w:r>
          </w:p>
        </w:tc>
        <w:tc>
          <w:tcPr>
            <w:tcW w:w="90" w:type="dxa"/>
            <w:tcBorders/>
            <w:shd w:fill="CCEEFF" w:val="clear"/>
            <w:vAlign w:val="center"/>
          </w:tcPr>
          <w:p>
            <w:pPr>
              <w:pStyle w:val="TableContents"/>
              <w:bidi w:val="0"/>
              <w:spacing w:before="0" w:after="283"/>
              <w:jc w:val="righ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rPr>
            </w:pPr>
            <w:r>
              <w:rPr>
                <w:b/>
              </w:rPr>
              <w:t>9.85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9.48</w:t>
            </w:r>
          </w:p>
        </w:tc>
        <w:tc>
          <w:tcPr>
            <w:tcW w:w="29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0"/>
              <w:ind w:left="0" w:right="0" w:hanging="144"/>
              <w:jc w:val="left"/>
              <w:rPr/>
            </w:pPr>
            <w:r>
              <w:rPr/>
              <w:t xml:space="preserve">Common equity tier 1 capital ratio </w:t>
            </w:r>
          </w:p>
        </w:tc>
        <w:tc>
          <w:tcPr>
            <w:tcW w:w="90"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b/>
              </w:rPr>
            </w:pPr>
            <w:r>
              <w:rPr>
                <w:b/>
              </w:rPr>
              <w:t>12.24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456"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12.07</w:t>
            </w:r>
          </w:p>
        </w:tc>
        <w:tc>
          <w:tcPr>
            <w:tcW w:w="29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0"/>
              <w:ind w:left="0" w:right="0" w:hanging="144"/>
              <w:jc w:val="left"/>
              <w:rPr/>
            </w:pPr>
            <w:r>
              <w:rPr/>
              <w:t xml:space="preserve">Tier 1 capital ratio </w:t>
            </w:r>
          </w:p>
        </w:tc>
        <w:tc>
          <w:tcPr>
            <w:tcW w:w="90" w:type="dxa"/>
            <w:tcBorders/>
            <w:shd w:fill="CCEEFF" w:val="clear"/>
            <w:vAlign w:val="center"/>
          </w:tcPr>
          <w:p>
            <w:pPr>
              <w:pStyle w:val="TableContents"/>
              <w:bidi w:val="0"/>
              <w:spacing w:before="0" w:after="283"/>
              <w:jc w:val="righ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rPr>
            </w:pPr>
            <w:r>
              <w:rPr>
                <w:b/>
              </w:rPr>
              <w:t>12.24</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45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12.07</w:t>
            </w:r>
          </w:p>
        </w:tc>
        <w:tc>
          <w:tcPr>
            <w:tcW w:w="29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0"/>
              <w:ind w:left="0" w:right="0" w:hanging="144"/>
              <w:jc w:val="left"/>
              <w:rPr/>
            </w:pPr>
            <w:r>
              <w:rPr/>
              <w:t xml:space="preserve">Total risk-based capital ratio </w:t>
            </w:r>
          </w:p>
        </w:tc>
        <w:tc>
          <w:tcPr>
            <w:tcW w:w="90"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b/>
              </w:rPr>
            </w:pPr>
            <w:r>
              <w:rPr>
                <w:b/>
              </w:rPr>
              <w:t>14.18</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right"/>
              <w:rPr/>
            </w:pPr>
            <w:r>
              <w:rPr/>
              <w:t> </w:t>
            </w:r>
          </w:p>
        </w:tc>
        <w:tc>
          <w:tcPr>
            <w:tcW w:w="456"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14.24</w:t>
            </w:r>
          </w:p>
        </w:tc>
        <w:tc>
          <w:tcPr>
            <w:tcW w:w="290" w:type="dxa"/>
            <w:tcBorders/>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0"/>
              <w:ind w:left="0" w:right="0" w:hanging="144"/>
              <w:jc w:val="left"/>
              <w:rPr/>
            </w:pPr>
            <w:r>
              <w:rPr/>
              <w:t xml:space="preserve">Cash dividends as a percentage of net income </w:t>
            </w:r>
          </w:p>
        </w:tc>
        <w:tc>
          <w:tcPr>
            <w:tcW w:w="90" w:type="dxa"/>
            <w:tcBorders/>
            <w:shd w:fill="CCEEFF" w:val="clear"/>
            <w:vAlign w:val="center"/>
          </w:tcPr>
          <w:p>
            <w:pPr>
              <w:pStyle w:val="TableContents"/>
              <w:bidi w:val="0"/>
              <w:spacing w:before="0" w:after="283"/>
              <w:jc w:val="righ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rPr>
            </w:pPr>
            <w:r>
              <w:rPr>
                <w:b/>
              </w:rPr>
              <w:t>36.92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45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42.90</w:t>
            </w:r>
          </w:p>
        </w:tc>
        <w:tc>
          <w:tcPr>
            <w:tcW w:w="29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0"/>
              <w:ind w:left="0" w:right="0" w:hanging="144"/>
              <w:jc w:val="left"/>
              <w:rPr/>
            </w:pPr>
            <w:r>
              <w:rPr/>
              <w:t xml:space="preserve">Per common share: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pPr>
            <w:r>
              <w:rPr/>
              <w:t xml:space="preserve">Book value </w:t>
            </w:r>
          </w:p>
        </w:tc>
        <w:tc>
          <w:tcPr>
            <w:tcW w:w="90" w:type="dxa"/>
            <w:tcBorders/>
            <w:shd w:fill="CCEEFF" w:val="clear"/>
            <w:vAlign w:val="center"/>
          </w:tcPr>
          <w:p>
            <w:pPr>
              <w:pStyle w:val="TableContents"/>
              <w:bidi w:val="0"/>
              <w:spacing w:before="0" w:after="283"/>
              <w:jc w:val="right"/>
              <w:rPr/>
            </w:pPr>
            <w:r>
              <w:rPr/>
              <w:t> </w:t>
            </w:r>
          </w:p>
        </w:tc>
        <w:tc>
          <w:tcPr>
            <w:tcW w:w="336" w:type="dxa"/>
            <w:tcBorders/>
            <w:shd w:fill="CCEEFF" w:val="clear"/>
            <w:vAlign w:val="center"/>
          </w:tcPr>
          <w:p>
            <w:pPr>
              <w:pStyle w:val="TableContents"/>
              <w:bidi w:val="0"/>
              <w:spacing w:before="0" w:after="283"/>
              <w:jc w:val="left"/>
              <w:rPr>
                <w:b/>
              </w:rPr>
            </w:pPr>
            <w:r>
              <w:rPr>
                <w:b/>
              </w:rPr>
              <w:t>$</w:t>
            </w:r>
          </w:p>
        </w:tc>
        <w:tc>
          <w:tcPr>
            <w:tcW w:w="1168" w:type="dxa"/>
            <w:tcBorders/>
            <w:shd w:fill="CCEEFF" w:val="clear"/>
            <w:vAlign w:val="center"/>
          </w:tcPr>
          <w:p>
            <w:pPr>
              <w:pStyle w:val="TableContents"/>
              <w:bidi w:val="0"/>
              <w:spacing w:before="0" w:after="283"/>
              <w:jc w:val="right"/>
              <w:rPr>
                <w:b/>
              </w:rPr>
            </w:pPr>
            <w:r>
              <w:rPr>
                <w:b/>
              </w:rPr>
              <w:t>37.42</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56"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36.32</w:t>
            </w:r>
          </w:p>
        </w:tc>
        <w:tc>
          <w:tcPr>
            <w:tcW w:w="29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pPr>
            <w:r>
              <w:rPr/>
              <w:t>Tangible book value</w:t>
            </w:r>
            <w:r>
              <w:rPr>
                <w:position w:val="8"/>
                <w:sz w:val="19"/>
              </w:rPr>
              <w:t>(1)</w:t>
            </w:r>
            <w:r>
              <w:rPr/>
              <w:t xml:space="preserve"> </w:t>
            </w:r>
          </w:p>
        </w:tc>
        <w:tc>
          <w:tcPr>
            <w:tcW w:w="90" w:type="dxa"/>
            <w:tcBorders/>
            <w:vAlign w:val="center"/>
          </w:tcPr>
          <w:p>
            <w:pPr>
              <w:pStyle w:val="TableContents"/>
              <w:bidi w:val="0"/>
              <w:spacing w:before="0" w:after="283"/>
              <w:jc w:val="right"/>
              <w:rPr/>
            </w:pPr>
            <w:r>
              <w:rPr/>
              <w:t> </w:t>
            </w:r>
          </w:p>
        </w:tc>
        <w:tc>
          <w:tcPr>
            <w:tcW w:w="336" w:type="dxa"/>
            <w:tcBorders/>
            <w:vAlign w:val="center"/>
          </w:tcPr>
          <w:p>
            <w:pPr>
              <w:pStyle w:val="TableContents"/>
              <w:bidi w:val="0"/>
              <w:spacing w:before="0" w:after="283"/>
              <w:jc w:val="left"/>
              <w:rPr>
                <w:b/>
              </w:rPr>
            </w:pPr>
            <w:r>
              <w:rPr>
                <w:b/>
              </w:rPr>
              <w:t>$</w:t>
            </w:r>
          </w:p>
        </w:tc>
        <w:tc>
          <w:tcPr>
            <w:tcW w:w="1168" w:type="dxa"/>
            <w:tcBorders/>
            <w:vAlign w:val="center"/>
          </w:tcPr>
          <w:p>
            <w:pPr>
              <w:pStyle w:val="TableContents"/>
              <w:bidi w:val="0"/>
              <w:spacing w:before="0" w:after="283"/>
              <w:jc w:val="right"/>
              <w:rPr>
                <w:b/>
              </w:rPr>
            </w:pPr>
            <w:r>
              <w:rPr>
                <w:b/>
              </w:rPr>
              <w:t>27.71</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56"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26.54</w:t>
            </w:r>
          </w:p>
        </w:tc>
        <w:tc>
          <w:tcPr>
            <w:tcW w:w="29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pPr>
            <w:r>
              <w:rPr/>
              <w:t>Tangible equity ratio</w:t>
            </w:r>
            <w:r>
              <w:rPr>
                <w:position w:val="8"/>
                <w:sz w:val="19"/>
              </w:rPr>
              <w:t>(2)</w:t>
            </w:r>
            <w:r>
              <w:rPr/>
              <w:t xml:space="preserve"> </w:t>
            </w:r>
          </w:p>
        </w:tc>
        <w:tc>
          <w:tcPr>
            <w:tcW w:w="90" w:type="dxa"/>
            <w:tcBorders/>
            <w:shd w:fill="CCEEFF" w:val="clear"/>
            <w:vAlign w:val="center"/>
          </w:tcPr>
          <w:p>
            <w:pPr>
              <w:pStyle w:val="TableContents"/>
              <w:bidi w:val="0"/>
              <w:spacing w:before="0" w:after="283"/>
              <w:jc w:val="righ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rPr>
            </w:pPr>
            <w:r>
              <w:rPr>
                <w:b/>
              </w:rPr>
              <w:t>9.16</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right"/>
              <w:rPr/>
            </w:pPr>
            <w:r>
              <w:rPr/>
              <w:t> </w:t>
            </w:r>
          </w:p>
        </w:tc>
        <w:tc>
          <w:tcPr>
            <w:tcW w:w="45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8.95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Non-GAAP measure - Stockholders’ equity less goodwill and intangible assets divided by common shares outstanding.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Non-GAAP measure - Stockholders’ equity less goodwill and intangible assets divided by total assets less goodwill and intangible assets.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Liquidity and Interest Rate Sensitivity Management</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Market Risk</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rate risk is the most significant market risk affecting the Company. Other types of market risk, such as foreign currency exchange rate risk and commodity price risk, do not arise in the normal course of the Company’s business activities or are immaterial to the results of operations.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Interest rate risk is defined as an exposure to a movement in interest rates that could have an adverse effect on the Company’s net interest income. Net interest income is susceptible to interest rate risk to the degree that interest-bearing liabilities mature or reprice on a different basis than earning assets. When interest-bearing liabilities mature or reprice more quickly than earning assets in a given period, a significant increase in market rates of interest could adversely affect net interest income. Similarly, when earning assets mature or reprice more quickly than interest-bearing liabilities, falling interest rates could result in a decrease in net interest income.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To manage the Company’s exposure to changes in interest rates, management monitors the Company’s interest rate risk. Management’s Asset Liability Committee (“ALCO”) meets monthly to review the Company’s interest rate risk position and profitability and to recommend strategies for consideration by the Board of Directors (the “Board”). Management also reviews loan and deposit pricing and the Company’s securities portfolio, formulates investment and funding strategies and oversees the timing and implementation of transactions to assure attainment of the Board’s objectives in the most effective manner. Notwithstanding the Company’s interest rate risk management activities, the potential for changing interest rates is an uncertainty that can have an adverse effect on net income.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 managing the Company’s asset/liability position, the Board and management aim to manage the Company’s interest rate risk while minimizing NIM compression. At times, depending on the level of general interest rates, the relationship between long and short-term interest rates, market conditions and competitive factors, the Board and management may determine to increase the Company’s interest rate risk position somewhat in order to increase its NIM. The Company’s results of operations and net portfolio values remain vulnerable to changes in interest rates and fluctuations in the difference between long and short-term interest rates.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primary tool utilized by the ALCO to manage interest rate risk is earnings at risk modeling (interest rate sensitivity analysis). Information, such as principal balance, interest rate, maturity date, cash flows, next repricing date (if needed) and current rates are uploaded into the model to create an ending balance sheet. In addition, the ALCO makes certain assumptions regarding prepayment speeds for loans and mortgage related investment securities along with any optionality within the deposits and borrowings. The model is first run under an assumption of a flat rate scenario (e.g., no change in current interest rates) with a static balance sheet. Six additional models are run in which gradual increases of 300 bps, 200 bps and 100 bps, and gradual decreases of 100 bps, 200 bps and 300 bps takes place over a 12-month period with a static balance sheet. Under these scenarios, assets subject to prepayments are adjusted to account for faster or slower prepayment assumptions. Any investment securities or borrowings that have callable options embedded in them are handled accordingly based on the interest rate scenario. The resulting changes in net interest income are then measured against the flat rate scenario. The Company also runs other interest rate scenarios to highlight potential interest rate risk.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Company’s Interest Rate Sensitivity has remained in a near neutral position. In the declining rate scenarios, net interest income is projected to modestly decrease when compared to the forecasted net interest income in the flat rate scenario through the simulation period. The decrease in net interest income is a result of earning assets repricing and rolling over at lower yields at a faster pace than interest-bearing liabilities decline and/or reach their floors. Conversely in the rising rate scenarios, net interest income increases modestly, impacted by slowing prepayment speeds and increased deposit reactivity; the magnitude of potential impact on earnings may be affected by the ability to lag deposit repricing on interest-bearing checking, savings, MMDA and time accounts. Net interest income for the next twelve months in the +300/+200/+100/-100/-200/-300 bps scenarios, as described above, is within the internal policy risk limits of not more than a 5.0% reduction in net interest income in the +100/-100 bps scenarios, of not more than a 7.5% reduction in net interest income in the +200/-200 bps scenarios and of not more than a 12.0% reduction in net interest income in the +300/-300 bps scenarios. The following table summarizes the percentage change in net interest income in the rising and declining rate scenarios over a 12-month period from the forecasted net interest income in the flat rate scenario using the June 30, 2026 balance sheet position: </w:t>
      </w:r>
    </w:p>
    <w:p>
      <w:pPr>
        <w:pStyle w:val="TextBody"/>
        <w:bidi w:val="0"/>
        <w:spacing w:before="0" w:after="0"/>
        <w:jc w:val="left"/>
        <w:rPr/>
      </w:pPr>
      <w:r>
        <w:rPr/>
        <w:t xml:space="preserve">  </w:t>
      </w:r>
    </w:p>
    <w:tbl>
      <w:tblPr>
        <w:tblW w:w="5492" w:type="dxa"/>
        <w:jc w:val="left"/>
        <w:tblInd w:w="0" w:type="dxa"/>
        <w:tblLayout w:type="fixed"/>
        <w:tblCellMar>
          <w:top w:w="28" w:type="dxa"/>
          <w:left w:w="28" w:type="dxa"/>
          <w:bottom w:w="28" w:type="dxa"/>
          <w:right w:w="28" w:type="dxa"/>
        </w:tblCellMar>
      </w:tblPr>
      <w:tblGrid>
        <w:gridCol w:w="3511"/>
        <w:gridCol w:w="1981"/>
      </w:tblGrid>
      <w:tr>
        <w:trPr/>
        <w:tc>
          <w:tcPr>
            <w:tcW w:w="3511" w:type="dxa"/>
            <w:tcBorders/>
            <w:vAlign w:val="center"/>
          </w:tcPr>
          <w:p>
            <w:pPr>
              <w:pStyle w:val="TableContents"/>
              <w:bidi w:val="0"/>
              <w:spacing w:before="0" w:after="283"/>
              <w:jc w:val="left"/>
              <w:rPr/>
            </w:pPr>
            <w:r>
              <w:rPr/>
              <w:t> </w:t>
            </w:r>
          </w:p>
        </w:tc>
        <w:tc>
          <w:tcPr>
            <w:tcW w:w="1981" w:type="dxa"/>
            <w:tcBorders/>
            <w:vAlign w:val="center"/>
          </w:tcPr>
          <w:p>
            <w:pPr>
              <w:pStyle w:val="TableContents"/>
              <w:bidi w:val="0"/>
              <w:spacing w:before="0" w:after="283"/>
              <w:jc w:val="left"/>
              <w:rPr/>
            </w:pPr>
            <w:r>
              <w:rPr/>
              <w:t> </w:t>
            </w:r>
          </w:p>
        </w:tc>
      </w:tr>
      <w:tr>
        <w:trPr/>
        <w:tc>
          <w:tcPr>
            <w:tcW w:w="3511" w:type="dxa"/>
            <w:tcBorders/>
            <w:tcMar>
              <w:top w:w="0" w:type="dxa"/>
              <w:left w:w="0" w:type="dxa"/>
              <w:bottom w:w="0" w:type="dxa"/>
              <w:right w:w="0" w:type="dxa"/>
            </w:tcMar>
            <w:vAlign w:val="center"/>
          </w:tcPr>
          <w:p>
            <w:pPr>
              <w:pStyle w:val="TableContents"/>
              <w:bidi w:val="0"/>
              <w:spacing w:before="0" w:after="0"/>
              <w:jc w:val="left"/>
              <w:rPr/>
            </w:pPr>
            <w:r>
              <w:rPr>
                <w:b/>
              </w:rPr>
              <w:t>Interest Rate Sensitivity Analysis</w:t>
            </w:r>
            <w:r>
              <w:rPr/>
              <w:t xml:space="preserve"> </w:t>
            </w:r>
          </w:p>
        </w:tc>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tcMar>
              <w:top w:w="0" w:type="dxa"/>
              <w:left w:w="0" w:type="dxa"/>
              <w:bottom w:w="0" w:type="dxa"/>
              <w:right w:w="0" w:type="dxa"/>
            </w:tcMar>
            <w:vAlign w:val="center"/>
          </w:tcPr>
          <w:p>
            <w:pPr>
              <w:pStyle w:val="TableContents"/>
              <w:bidi w:val="0"/>
              <w:spacing w:before="0" w:after="0"/>
              <w:jc w:val="left"/>
              <w:rPr/>
            </w:pPr>
            <w:r>
              <w:rPr/>
              <w:t xml:space="preserve">Change in interest rates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t xml:space="preserve">Percent change in </w:t>
            </w:r>
          </w:p>
        </w:tc>
      </w:tr>
      <w:tr>
        <w:trPr/>
        <w:tc>
          <w:tcPr>
            <w:tcW w:w="35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i/>
              </w:rPr>
              <w:t>(in bps)</w:t>
            </w:r>
            <w:r>
              <w:rPr/>
              <w:t xml:space="preserve"> </w:t>
            </w:r>
          </w:p>
        </w:tc>
        <w:tc>
          <w:tcPr>
            <w:tcW w:w="19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xml:space="preserve">net interest income </w:t>
            </w:r>
          </w:p>
        </w:tc>
      </w:tr>
      <w:tr>
        <w:trPr/>
        <w:tc>
          <w:tcPr>
            <w:tcW w:w="351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+300 </w:t>
            </w:r>
          </w:p>
        </w:tc>
        <w:tc>
          <w:tcPr>
            <w:tcW w:w="1981"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0.16% </w:t>
            </w:r>
          </w:p>
        </w:tc>
      </w:tr>
      <w:tr>
        <w:trPr/>
        <w:tc>
          <w:tcPr>
            <w:tcW w:w="3511" w:type="dxa"/>
            <w:tcBorders/>
            <w:tcMar>
              <w:top w:w="0" w:type="dxa"/>
              <w:left w:w="0" w:type="dxa"/>
              <w:bottom w:w="0" w:type="dxa"/>
              <w:right w:w="0" w:type="dxa"/>
            </w:tcMar>
            <w:vAlign w:val="center"/>
          </w:tcPr>
          <w:p>
            <w:pPr>
              <w:pStyle w:val="TableContents"/>
              <w:bidi w:val="0"/>
              <w:spacing w:before="0" w:after="0"/>
              <w:jc w:val="left"/>
              <w:rPr/>
            </w:pPr>
            <w:r>
              <w:rPr/>
              <w:t xml:space="preserve">+200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t xml:space="preserve">0.47% </w:t>
            </w:r>
          </w:p>
        </w:tc>
      </w:tr>
      <w:tr>
        <w:trPr/>
        <w:tc>
          <w:tcPr>
            <w:tcW w:w="351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+100 </w:t>
            </w:r>
          </w:p>
        </w:tc>
        <w:tc>
          <w:tcPr>
            <w:tcW w:w="1981"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0.52% </w:t>
            </w:r>
          </w:p>
        </w:tc>
      </w:tr>
      <w:tr>
        <w:trPr/>
        <w:tc>
          <w:tcPr>
            <w:tcW w:w="3511" w:type="dxa"/>
            <w:tcBorders/>
            <w:tcMar>
              <w:top w:w="0" w:type="dxa"/>
              <w:left w:w="0" w:type="dxa"/>
              <w:bottom w:w="0" w:type="dxa"/>
              <w:right w:w="0" w:type="dxa"/>
            </w:tcMar>
            <w:vAlign w:val="center"/>
          </w:tcPr>
          <w:p>
            <w:pPr>
              <w:pStyle w:val="TableContents"/>
              <w:bidi w:val="0"/>
              <w:spacing w:before="0" w:after="0"/>
              <w:jc w:val="left"/>
              <w:rPr/>
            </w:pPr>
            <w:r>
              <w:rPr/>
              <w:t xml:space="preserve">-100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t xml:space="preserve">(0.49)% </w:t>
            </w:r>
          </w:p>
        </w:tc>
      </w:tr>
      <w:tr>
        <w:trPr/>
        <w:tc>
          <w:tcPr>
            <w:tcW w:w="351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-200 </w:t>
            </w:r>
          </w:p>
        </w:tc>
        <w:tc>
          <w:tcPr>
            <w:tcW w:w="1981"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(0.46)% </w:t>
            </w:r>
          </w:p>
        </w:tc>
      </w:tr>
      <w:tr>
        <w:trPr/>
        <w:tc>
          <w:tcPr>
            <w:tcW w:w="3511" w:type="dxa"/>
            <w:tcBorders/>
            <w:tcMar>
              <w:top w:w="0" w:type="dxa"/>
              <w:left w:w="0" w:type="dxa"/>
              <w:bottom w:w="0" w:type="dxa"/>
              <w:right w:w="0" w:type="dxa"/>
            </w:tcMar>
            <w:vAlign w:val="center"/>
          </w:tcPr>
          <w:p>
            <w:pPr>
              <w:pStyle w:val="TableContents"/>
              <w:bidi w:val="0"/>
              <w:spacing w:before="0" w:after="0"/>
              <w:jc w:val="left"/>
              <w:rPr/>
            </w:pPr>
            <w:r>
              <w:rPr/>
              <w:t xml:space="preserve">-300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t xml:space="preserve">(0.34)% </w:t>
            </w:r>
          </w:p>
        </w:tc>
      </w:tr>
    </w:tbl>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 anticipates that the trajectory of net interest income will continue to depend significantly on the timing and path of short to mid-term interest rates which are heavily driven by inflationary pressures, employment levels and FOMC monetary policy. In 2025, the FOMC shifted to an easing cycle, cutting the federal funds rate three times (September, October and December) by 25 bps each, bringing the target range down from 4.25-4.50% towards a more neutral stance of 3.50-3.75% as inflation pressures eased but growth softened. Actions included rate cuts, open market operations to manage liquidity, and adjustments to reinvestment policies for Treasury and mortgage-backed securities. The Fed remains committed to its 2% inflation target and maximum employment goals. The 2025 federal funds rate reductions and initial expectations for continued reductions in 2026 provided the catalyst for the Company to begin reducing deposit rates in late 2025 and early 2026. However, the onset of the Iran War in 2026 has contributed to higher interest rates and an expectation for an elevated yield curve in the near term. The Company continues to focus on managing deposit expense in an environment of still elevated short-term interest rates (compared to recent years) while maintaining lending spreads in an effort to allow new and repricing asset yields to remain above existing portfolio asset yields where possible.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b/>
          <w:sz w:val="20"/>
        </w:rPr>
        <w:t>Liquidity Risk</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Liquidity risk arises from the possibility that the Company may not be able to satisfy current or future financial commitments or may become unduly reliant on alternate funding sources. The objective of liquidity management is to ensure the Company can fund balance sheet growth, meet the cash flow requirements of depositors wanting to withdraw funds or borrowers needing assurance that sufficient funds will be available to meet their credit needs. ALCO is responsible for liquidity management and has developed guidelines, which cover all assets and liabilities, as well as off-balance sheet items that are potential sources or uses of liquidity. Liquidity policies must also provide the flexibility to implement appropriate strategies, along with regular monitoring of liquidity and testing of the contingent liquidity plan. Requirements change as loans grow, deposits and securities mature and payments on borrowings are made. Liquidity management includes a focus on interest rate sensitivity management with a goal of avoiding widely fluctuating net interest margins through periods of changing economic conditions. Loan repayments and maturing investment securities are a relatively predictable source of funds. However, deposit flows, calls of investment securities and prepayments of loans and mortgage-related securities are strongly influenced by interest rates, the housing market, general and local economic conditions, and competition in the marketplace. Management continually monitors marketplace trends to identify patterns that might improve the predictability of the timing of deposit flows or asset prepayments.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primary liquidity measurement the Company utilizes is called “Basic Surplus,” which captures the adequacy of its access to reliable sources of cash relative to the stability of its funding mix of average liabilities. This approach recognizes the importance of balancing levels of cash flow liquidity from short and long-term securities with the availability of dependable borrowing sources, which can be accessed when necessary. At June 30, 2026, the Company’s Basic Surplus measurement was 17.1% of total assets, or $2.77 billion, as compared to the December 31, 2025 Basic Surplus of 18.7%, or $2.98 billion, and was above the Company’s minimum of 5% (calculated at $810.7 million and $799.8 million of period end total assets as June 30, 2026 and December 31, 2025, respectively) set forth in its liquidity policies.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 June 30, 2026 and December 31, 2025, FHLB advances outstanding totaled $199.9 million and $43.0 million, respectively. At June 30, 2026 and December 31, 2025, the Bank had $379.0 million and $353.0 million, respectively, of collateral encumbered by municipal letters of credit. The Bank is a member of the FHLB system and had additional borrowing capacity from the FHLB of approximately $1.94 billion at June 30, 2026 and $2.10 billion at December 31, 2025. In addition, unpledged securities could have been used to increase borrowing capacity at the FHLB by an additional $1.31 billion and $1.11 billion at June 30, 2026 and December 31, 2025, respectively, or used to collateralize other borrowings, such as repurchase agreements. The Company also has the ability to issue brokered time deposits and to borrow against established borrowing facilities with other banks (federal funds), which could provide additional liquidity of $2.60 billion at June 30, 2026 and $2.53 billion at December 31, 2025. In addition, the Bank has a “Borrower-in-Custody” program with the FRB with the addition of the ability to pledge automobile and residential solar loans as collateral. At June 30, 2026 and December 31, 2025, the Bank had the capacity to borrow $1.12 billion and $1.18 billion, respectively, from this program. The Company’s internal policies authorize borrowing up to 25% of assets. Under this policy, remaining available borrowing capacity totaled $3.79 billion at June 30, 2026 and $3.94 billion at December 31, 2025.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This Basic Surplus approach enables the Company to appropriately manage liquidity from both operational and contingency perspectives. By tempering the need for cash flow liquidity with reliable borrowing facilities, the Company is able to operate with a more fully invested and, therefore, higher interest income generating securities portfolio. The makeup and term structure of the securities portfolio is, in part, impacted by the overall interest rate sensitivity of the balance sheet. Investment decisions and deposit pricing strategies are impacted by the liquidity position. The Company considers its Basic Surplus position to be strong. However, certain events may adversely impact the Company’s liquidity position in 2026. While short-term interest rates have declined, they remain elevated relative to recent history, which could result in deposit declines as depositors continue to have alternative opportunities for yield on their excess funds. In the current economic environment, draws against lines of credit could drive asset growth higher. Disruptions in wholesale funding markets could spark increased competition for deposits. These scenarios could lead to a decrease in the Company’s Basic Surplus measure below the minimum policy level of 5%. </w:t>
      </w:r>
    </w:p>
    <w:p>
      <w:pPr>
        <w:pStyle w:val="TextBody"/>
        <w:bidi w:val="0"/>
        <w:spacing w:before="0" w:after="0"/>
        <w:jc w:val="both"/>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 June 30, 2026, a portion of the Company’s loans and securities were pledged as collateral on borrowings. Therefore, once on-balance sheet liquidity is reduced, future growth of earning assets will depend upon the Company’s ability to obtain additional funding, through growth of core deposits and collateral management and may require further use of brokered time deposits or other higher cost borrowing arrangements.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Company’s primary source of funds is dividends from its subsidiaries. Various laws and regulations restrict the ability of banks to pay dividends to their stockholders. Generally, the payment of dividends by the Company in the future as well as the payment of interest on the capital securities will require the generation of sufficient future earnings by its subsidiaries.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Certain restrictions exist regarding the ability of the Bank to transfer funds to the Company in the form of cash dividends. The approval of the OCC is required to pay dividends when a bank fails to meet certain minimum regulatory capital standards or when such dividends are in excess of a subsidiary bank’s earnings retained in the current year plus retained net profits for the preceding two years as specified in applicable OCC regulations. At June 30, 2026 and December 31, 2025, approximately $110.0 million and $115.9 million, respectively, of the total stockholders’ equity of the Bank was available for payment of dividends to the Company without approval by the OCC. The Bank’s ability to pay dividends is also subject to the Bank being in compliance with regulatory capital requirements. The Bank is currently in compliance with these requirements. Under the State of Delaware General Corporation Law, the Company may declare and pay dividends either out of accumulated net retained earnings or capital surplus.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13" w:name="QUANTITATIVE_AND_QUALITATIVE"/>
      <w:bookmarkEnd w:id="13"/>
      <w:r>
        <w:rPr>
          <w:rFonts w:ascii="TimesNewRoman;Times New Roman;Times;Baskerville;Georgia;serif" w:hAnsi="TimesNewRoman;Times New Roman;Times;Baskerville;Georgia;serif"/>
          <w:b/>
          <w:sz w:val="20"/>
        </w:rPr>
        <w:t>QUANTITATIVE AND QUALITATIVE DISCLOSURES ABOUT MARKET RISK</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9784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3.</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16891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Information called for by Item 3 is contained in the Liquidity and Interest Rate Sensitivity Management section of the Management’s Discussion and Analysis of Financial Condition and Results of Operations. </w:t>
      </w:r>
    </w:p>
    <w:p>
      <w:pPr>
        <w:pStyle w:val="TextBody"/>
        <w:bidi w:val="0"/>
        <w:spacing w:before="0" w:after="0"/>
        <w:jc w:val="both"/>
        <w:rPr/>
      </w:pPr>
      <w:r>
        <w:rPr/>
        <w:t xml:space="preserve">  </w:t>
      </w:r>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14" w:name="CONTROLS_AND_PROCEDURES"/>
      <w:bookmarkEnd w:id="14"/>
      <w:r>
        <w:rPr>
          <w:rFonts w:ascii="TimesNewRoman;Times New Roman;Times;Baskerville;Georgia;serif" w:hAnsi="TimesNewRoman;Times New Roman;Times;Baskerville;Georgia;serif"/>
          <w:b/>
          <w:sz w:val="20"/>
        </w:rPr>
        <w:t>CONTROLS AND PROCEDURES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9784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4.</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4.</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16891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Company’s management, with the participation of the Company’s Chief Executive Officer and Chief Financial Officer, evaluated the effectiveness of the design and operation of the Company’s disclosure controls and procedures (as defined in Rule 13a-15(e) and 15d-15(e) under the Securities Exchange Act of 1934, as amended). Based upon that evaluation, the Chief Executive Officer and Chief Financial Officer concluded that, as of June 30, 2026, the Company’s disclosure controls and procedures were effective.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bookmarkStart w:id="15" w:name="PART_II"/>
      <w:bookmarkEnd w:id="15"/>
      <w:r>
        <w:rPr>
          <w:rFonts w:ascii="TimesNewRoman;Times New Roman;Times;Baskerville;Georgia;serif" w:hAnsi="TimesNewRoman;Times New Roman;Times;Baskerville;Georgia;serif"/>
          <w:b/>
          <w:sz w:val="20"/>
        </w:rPr>
        <w:t>PART II OTHER INFORMATION</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16" w:name="ITEM_1"/>
      <w:bookmarkEnd w:id="16"/>
      <w:r>
        <w:rPr>
          <w:rFonts w:ascii="TimesNewRoman;Times New Roman;Times;Baskerville;Georgia;serif" w:hAnsi="TimesNewRoman;Times New Roman;Times;Baskerville;Georgia;serif"/>
          <w:b/>
          <w:sz w:val="20"/>
        </w:rPr>
        <w:t>LEGAL PROCEEDINGS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9784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1.</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1.</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16891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are no material legal proceedings, other than ordinary routine litigation incidental to the business, to which the Company or any of its subsidiaries is a party or of which any of their property is subject. </w:t>
      </w:r>
    </w:p>
    <w:p>
      <w:pPr>
        <w:pStyle w:val="TextBody"/>
        <w:bidi w:val="0"/>
        <w:spacing w:before="0" w:after="0"/>
        <w:jc w:val="both"/>
        <w:rPr/>
      </w:pPr>
      <w:r>
        <w:rPr/>
        <w:t xml:space="preserve">  </w:t>
      </w:r>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17" w:name="Item_1A"/>
      <w:bookmarkEnd w:id="17"/>
      <w:r>
        <w:rPr>
          <w:rFonts w:ascii="TimesNewRoman;Times New Roman;Times;Baskerville;Georgia;serif" w:hAnsi="TimesNewRoman;Times New Roman;Times;Baskerville;Georgia;serif"/>
          <w:b/>
          <w:sz w:val="20"/>
        </w:rPr>
        <w:t>RISK FACTORS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58928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589280" cy="350520"/>
                        </a:xfrm>
                        <a:prstGeom prst="rect"/>
                        <a:solidFill>
                          <a:srgbClr val="FFFFFF"/>
                        </a:solidFill>
                      </wps:spPr>
                      <wps:txbx>
                        <w:txbxContent>
                          <w:p>
                            <w:pPr>
                              <w:pStyle w:val="TextBody"/>
                              <w:bidi w:val="0"/>
                              <w:spacing w:before="0" w:after="283"/>
                              <w:jc w:val="left"/>
                              <w:rPr/>
                            </w:pPr>
                            <w:r>
                              <w:rPr>
                                <w:b/>
                              </w:rPr>
                              <w:t>ITEM 1A.</w:t>
                            </w:r>
                            <w:r>
                              <w:rPr/>
                              <w:t xml:space="preserve"> </w:t>
                            </w:r>
                          </w:p>
                        </w:txbxContent>
                      </wps:txbx>
                      <wps:bodyPr anchor="t" lIns="0" tIns="0" rIns="0" bIns="0">
                        <a:noAutofit/>
                      </wps:bodyPr>
                    </wps:wsp>
                  </a:graphicData>
                </a:graphic>
              </wp:anchor>
            </w:drawing>
          </mc:Choice>
          <mc:Fallback>
            <w:pict>
              <v:rect style="position:absolute;rotation:-0;width:46.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1A.</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7747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46.4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There are no material changes to the risk factors as previously discussed in Part I, Item 1A. of our 2025 Annual Report on Form 10-K. </w:t>
      </w:r>
    </w:p>
    <w:p>
      <w:pPr>
        <w:pStyle w:val="TextBody"/>
        <w:bidi w:val="0"/>
        <w:spacing w:before="0" w:after="0"/>
        <w:jc w:val="both"/>
        <w:rPr/>
      </w:pPr>
      <w:r>
        <w:rPr/>
        <w:t xml:space="preserve">  </w:t>
      </w:r>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18" w:name="ITEM_2"/>
      <w:bookmarkEnd w:id="18"/>
      <w:r>
        <w:rPr>
          <w:rFonts w:ascii="TimesNewRoman;Times New Roman;Times;Baskerville;Georgia;serif" w:hAnsi="TimesNewRoman;Times New Roman;Times;Baskerville;Georgia;serif"/>
          <w:b/>
          <w:sz w:val="20"/>
        </w:rPr>
        <w:t>UNREGISTERED SALES OF EQUITY SECURITIES AND USE OF PROCEEDS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9784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2.</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16891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54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The following table presents stock purchases made during the quarter ended June 30, 2026: </w:t>
      </w:r>
    </w:p>
    <w:p>
      <w:pPr>
        <w:pStyle w:val="TextBody"/>
        <w:bidi w:val="0"/>
        <w:spacing w:before="0" w:after="0"/>
        <w:ind w:left="540" w:right="0" w:hanging="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418"/>
        <w:gridCol w:w="90"/>
        <w:gridCol w:w="180"/>
        <w:gridCol w:w="1429"/>
        <w:gridCol w:w="90"/>
        <w:gridCol w:w="90"/>
        <w:gridCol w:w="318"/>
        <w:gridCol w:w="1108"/>
        <w:gridCol w:w="90"/>
        <w:gridCol w:w="90"/>
        <w:gridCol w:w="278"/>
        <w:gridCol w:w="2219"/>
        <w:gridCol w:w="90"/>
        <w:gridCol w:w="90"/>
        <w:gridCol w:w="202"/>
        <w:gridCol w:w="2284"/>
        <w:gridCol w:w="139"/>
      </w:tblGrid>
      <w:tr>
        <w:trPr/>
        <w:tc>
          <w:tcPr>
            <w:tcW w:w="1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22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1418" w:type="dxa"/>
            <w:tcBorders>
              <w:bottom w:val="single" w:sz="12" w:space="0" w:color="000000"/>
            </w:tcBorders>
            <w:tcMar>
              <w:bottom w:w="28" w:type="dxa"/>
            </w:tcMar>
            <w:vAlign w:val="center"/>
          </w:tcPr>
          <w:p>
            <w:pPr>
              <w:pStyle w:val="TableContents"/>
              <w:bidi w:val="0"/>
              <w:spacing w:before="0" w:after="0"/>
              <w:jc w:val="left"/>
              <w:rPr>
                <w:b/>
              </w:rPr>
            </w:pPr>
            <w:r>
              <w:rPr>
                <w:b/>
              </w:rPr>
              <w:t xml:space="preserve">Period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Number of </w:t>
              <w:br/>
              <w:t>Shares</w:t>
              <w:br/>
              <w:t xml:space="preserve">Purchased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Average Price</w:t>
              <w:br/>
              <w:t xml:space="preserve">Paid Per Share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4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Number of Shares</w:t>
              <w:br/>
              <w:t>Purchased as Part of Publicly</w:t>
              <w:br/>
              <w:t>Announced Plans or</w:t>
              <w:br/>
              <w:t xml:space="preserve">Programs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4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Maximum Number of Shares </w:t>
              <w:br/>
              <w:t>That May Yet be Purchased</w:t>
              <w:br/>
              <w:t>Under the Plans or</w:t>
              <w:br/>
              <w:t>Programs</w:t>
            </w:r>
            <w:r>
              <w:rPr>
                <w:b/>
                <w:position w:val="8"/>
                <w:sz w:val="19"/>
              </w:rPr>
              <w:t>(1)</w:t>
            </w:r>
            <w:r>
              <w:rPr>
                <w:b/>
              </w:rPr>
              <w:t xml:space="preserve"> </w:t>
            </w:r>
          </w:p>
        </w:tc>
        <w:tc>
          <w:tcPr>
            <w:tcW w:w="139"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1418" w:type="dxa"/>
            <w:tcBorders/>
            <w:shd w:fill="CCEEFF" w:val="clear"/>
            <w:vAlign w:val="center"/>
          </w:tcPr>
          <w:p>
            <w:pPr>
              <w:pStyle w:val="TableContents"/>
              <w:bidi w:val="0"/>
              <w:spacing w:before="0" w:after="0"/>
              <w:jc w:val="left"/>
              <w:rPr/>
            </w:pPr>
            <w:r>
              <w:rPr/>
              <w:t xml:space="preserve">April 1-30, 2026 </w:t>
            </w:r>
          </w:p>
        </w:tc>
        <w:tc>
          <w:tcPr>
            <w:tcW w:w="90" w:type="dxa"/>
            <w:tcBorders/>
            <w:shd w:fill="CCEEFF" w:val="clear"/>
            <w:vAlign w:val="center"/>
          </w:tcPr>
          <w:p>
            <w:pPr>
              <w:pStyle w:val="TableContents"/>
              <w:bidi w:val="0"/>
              <w:spacing w:before="0" w:after="283"/>
              <w:jc w:val="right"/>
              <w:rPr/>
            </w:pPr>
            <w:r>
              <w:rPr/>
              <w:t> </w:t>
            </w:r>
          </w:p>
        </w:tc>
        <w:tc>
          <w:tcPr>
            <w:tcW w:w="18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2284" w:type="dxa"/>
            <w:tcBorders/>
            <w:shd w:fill="CCEEFF" w:val="clear"/>
            <w:vAlign w:val="center"/>
          </w:tcPr>
          <w:p>
            <w:pPr>
              <w:pStyle w:val="TableContents"/>
              <w:bidi w:val="0"/>
              <w:spacing w:before="0" w:after="283"/>
              <w:jc w:val="right"/>
              <w:rPr/>
            </w:pPr>
            <w:r>
              <w:rPr/>
              <w:t>1,500,000</w:t>
            </w:r>
          </w:p>
        </w:tc>
        <w:tc>
          <w:tcPr>
            <w:tcW w:w="139" w:type="dxa"/>
            <w:tcBorders/>
            <w:shd w:fill="CCEEFF" w:val="clear"/>
            <w:vAlign w:val="center"/>
          </w:tcPr>
          <w:p>
            <w:pPr>
              <w:pStyle w:val="TableContents"/>
              <w:bidi w:val="0"/>
              <w:spacing w:before="0" w:after="283"/>
              <w:jc w:val="left"/>
              <w:rPr/>
            </w:pPr>
            <w:r>
              <w:rPr/>
              <w:t> </w:t>
            </w:r>
          </w:p>
        </w:tc>
      </w:tr>
      <w:tr>
        <w:trPr/>
        <w:tc>
          <w:tcPr>
            <w:tcW w:w="1418" w:type="dxa"/>
            <w:tcBorders/>
            <w:vAlign w:val="center"/>
          </w:tcPr>
          <w:p>
            <w:pPr>
              <w:pStyle w:val="TableContents"/>
              <w:bidi w:val="0"/>
              <w:spacing w:before="0" w:after="0"/>
              <w:jc w:val="left"/>
              <w:rPr/>
            </w:pPr>
            <w:r>
              <w:rPr/>
              <w:t xml:space="preserve">May 1-31, 2026 </w:t>
            </w:r>
          </w:p>
        </w:tc>
        <w:tc>
          <w:tcPr>
            <w:tcW w:w="90" w:type="dxa"/>
            <w:tcBorders/>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68,595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43.96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78" w:type="dxa"/>
            <w:tcBorders/>
            <w:vAlign w:val="center"/>
          </w:tcPr>
          <w:p>
            <w:pPr>
              <w:pStyle w:val="TableContents"/>
              <w:bidi w:val="0"/>
              <w:spacing w:before="0" w:after="283"/>
              <w:jc w:val="left"/>
              <w:rPr/>
            </w:pPr>
            <w:r>
              <w:rPr/>
              <w:t> </w:t>
            </w:r>
          </w:p>
        </w:tc>
        <w:tc>
          <w:tcPr>
            <w:tcW w:w="2219" w:type="dxa"/>
            <w:tcBorders/>
            <w:vAlign w:val="center"/>
          </w:tcPr>
          <w:p>
            <w:pPr>
              <w:pStyle w:val="TableContents"/>
              <w:bidi w:val="0"/>
              <w:spacing w:before="0" w:after="283"/>
              <w:jc w:val="right"/>
              <w:rPr/>
            </w:pPr>
            <w:r>
              <w:rPr/>
              <w:t>68,595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right"/>
              <w:rPr/>
            </w:pPr>
            <w:r>
              <w:rPr/>
              <w:t>1,431,405</w:t>
            </w:r>
          </w:p>
        </w:tc>
        <w:tc>
          <w:tcPr>
            <w:tcW w:w="139" w:type="dxa"/>
            <w:tcBorders/>
            <w:vAlign w:val="center"/>
          </w:tcPr>
          <w:p>
            <w:pPr>
              <w:pStyle w:val="TableContents"/>
              <w:bidi w:val="0"/>
              <w:spacing w:before="0" w:after="283"/>
              <w:jc w:val="left"/>
              <w:rPr/>
            </w:pPr>
            <w:r>
              <w:rPr/>
              <w:t> </w:t>
            </w:r>
          </w:p>
        </w:tc>
      </w:tr>
      <w:tr>
        <w:trPr/>
        <w:tc>
          <w:tcPr>
            <w:tcW w:w="1418" w:type="dxa"/>
            <w:tcBorders>
              <w:bottom w:val="single" w:sz="12" w:space="0" w:color="000000"/>
            </w:tcBorders>
            <w:shd w:fill="CCEEFF" w:val="clear"/>
            <w:tcMar>
              <w:bottom w:w="28" w:type="dxa"/>
            </w:tcMar>
            <w:vAlign w:val="center"/>
          </w:tcPr>
          <w:p>
            <w:pPr>
              <w:pStyle w:val="TableContents"/>
              <w:bidi w:val="0"/>
              <w:spacing w:before="0" w:after="0"/>
              <w:jc w:val="left"/>
              <w:rPr/>
            </w:pPr>
            <w:r>
              <w:rPr/>
              <w:t xml:space="preserve">June 1-30, 2026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1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4" w:type="dxa"/>
            <w:tcBorders>
              <w:bottom w:val="single" w:sz="12" w:space="0" w:color="000000"/>
            </w:tcBorders>
            <w:shd w:fill="CCEEFF" w:val="clear"/>
            <w:tcMar>
              <w:bottom w:w="28" w:type="dxa"/>
            </w:tcMar>
            <w:vAlign w:val="center"/>
          </w:tcPr>
          <w:p>
            <w:pPr>
              <w:pStyle w:val="TableContents"/>
              <w:bidi w:val="0"/>
              <w:spacing w:before="0" w:after="283"/>
              <w:jc w:val="right"/>
              <w:rPr/>
            </w:pPr>
            <w:r>
              <w:rPr/>
              <w:t>1,431,405</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1418" w:type="dxa"/>
            <w:tcBorders>
              <w:bottom w:val="double" w:sz="8" w:space="0" w:color="000000"/>
            </w:tcBorders>
            <w:tcMar>
              <w:bottom w:w="28" w:type="dxa"/>
            </w:tcMar>
            <w:vAlign w:val="center"/>
          </w:tcPr>
          <w:p>
            <w:pPr>
              <w:pStyle w:val="TableContents"/>
              <w:bidi w:val="0"/>
              <w:spacing w:before="0" w:after="0"/>
              <w:jc w:val="left"/>
              <w:rPr>
                <w:b/>
              </w:rPr>
            </w:pPr>
            <w:r>
              <w:rPr>
                <w:b/>
              </w:rPr>
              <w:t xml:space="preserve">Total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180" w:type="dxa"/>
            <w:tcBorders>
              <w:bottom w:val="double" w:sz="8" w:space="0" w:color="000000"/>
            </w:tcBorders>
            <w:tcMar>
              <w:bottom w:w="28" w:type="dxa"/>
            </w:tcMar>
            <w:vAlign w:val="center"/>
          </w:tcPr>
          <w:p>
            <w:pPr>
              <w:pStyle w:val="TableContents"/>
              <w:bidi w:val="0"/>
              <w:spacing w:before="0" w:after="283"/>
              <w:jc w:val="left"/>
              <w:rPr/>
            </w:pPr>
            <w:r>
              <w:rPr/>
              <w:t> </w:t>
            </w:r>
          </w:p>
        </w:tc>
        <w:tc>
          <w:tcPr>
            <w:tcW w:w="1429" w:type="dxa"/>
            <w:tcBorders>
              <w:bottom w:val="double" w:sz="8" w:space="0" w:color="000000"/>
            </w:tcBorders>
            <w:tcMar>
              <w:bottom w:w="28" w:type="dxa"/>
            </w:tcMar>
            <w:vAlign w:val="center"/>
          </w:tcPr>
          <w:p>
            <w:pPr>
              <w:pStyle w:val="TableContents"/>
              <w:bidi w:val="0"/>
              <w:spacing w:before="0" w:after="283"/>
              <w:jc w:val="right"/>
              <w:rPr>
                <w:b/>
              </w:rPr>
            </w:pPr>
            <w:r>
              <w:rPr>
                <w:b/>
              </w:rPr>
              <w:t>68,595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318" w:type="dxa"/>
            <w:tcBorders>
              <w:bottom w:val="double" w:sz="8" w:space="0" w:color="000000"/>
            </w:tcBorders>
            <w:tcMar>
              <w:bottom w:w="28" w:type="dxa"/>
            </w:tcMar>
            <w:vAlign w:val="center"/>
          </w:tcPr>
          <w:p>
            <w:pPr>
              <w:pStyle w:val="TableContents"/>
              <w:bidi w:val="0"/>
              <w:spacing w:before="0" w:after="283"/>
              <w:jc w:val="left"/>
              <w:rPr>
                <w:b/>
              </w:rPr>
            </w:pPr>
            <w:r>
              <w:rPr>
                <w:b/>
              </w:rPr>
              <w:t>$</w:t>
            </w:r>
          </w:p>
        </w:tc>
        <w:tc>
          <w:tcPr>
            <w:tcW w:w="1108" w:type="dxa"/>
            <w:tcBorders>
              <w:bottom w:val="double" w:sz="8" w:space="0" w:color="000000"/>
            </w:tcBorders>
            <w:tcMar>
              <w:bottom w:w="28" w:type="dxa"/>
            </w:tcMar>
            <w:vAlign w:val="center"/>
          </w:tcPr>
          <w:p>
            <w:pPr>
              <w:pStyle w:val="TableContents"/>
              <w:bidi w:val="0"/>
              <w:spacing w:before="0" w:after="283"/>
              <w:jc w:val="right"/>
              <w:rPr>
                <w:b/>
              </w:rPr>
            </w:pPr>
            <w:r>
              <w:rPr>
                <w:b/>
              </w:rPr>
              <w:t>43.96</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78" w:type="dxa"/>
            <w:tcBorders>
              <w:bottom w:val="double" w:sz="8" w:space="0" w:color="000000"/>
            </w:tcBorders>
            <w:tcMar>
              <w:bottom w:w="28" w:type="dxa"/>
            </w:tcMar>
            <w:vAlign w:val="center"/>
          </w:tcPr>
          <w:p>
            <w:pPr>
              <w:pStyle w:val="TableContents"/>
              <w:bidi w:val="0"/>
              <w:spacing w:before="0" w:after="283"/>
              <w:jc w:val="left"/>
              <w:rPr/>
            </w:pPr>
            <w:r>
              <w:rPr/>
              <w:t> </w:t>
            </w:r>
          </w:p>
        </w:tc>
        <w:tc>
          <w:tcPr>
            <w:tcW w:w="2219" w:type="dxa"/>
            <w:tcBorders>
              <w:bottom w:val="double" w:sz="8" w:space="0" w:color="000000"/>
            </w:tcBorders>
            <w:tcMar>
              <w:bottom w:w="28" w:type="dxa"/>
            </w:tcMar>
            <w:vAlign w:val="center"/>
          </w:tcPr>
          <w:p>
            <w:pPr>
              <w:pStyle w:val="TableContents"/>
              <w:bidi w:val="0"/>
              <w:spacing w:before="0" w:after="283"/>
              <w:jc w:val="right"/>
              <w:rPr>
                <w:b/>
              </w:rPr>
            </w:pPr>
            <w:r>
              <w:rPr>
                <w:b/>
              </w:rPr>
              <w:t>68,595</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right"/>
              <w:rPr/>
            </w:pPr>
            <w:r>
              <w:rPr/>
              <w:t> </w:t>
            </w:r>
          </w:p>
        </w:tc>
        <w:tc>
          <w:tcPr>
            <w:tcW w:w="202" w:type="dxa"/>
            <w:tcBorders>
              <w:bottom w:val="double" w:sz="8" w:space="0" w:color="000000"/>
            </w:tcBorders>
            <w:tcMar>
              <w:bottom w:w="28" w:type="dxa"/>
            </w:tcMar>
            <w:vAlign w:val="center"/>
          </w:tcPr>
          <w:p>
            <w:pPr>
              <w:pStyle w:val="TableContents"/>
              <w:bidi w:val="0"/>
              <w:spacing w:before="0" w:after="283"/>
              <w:jc w:val="left"/>
              <w:rPr/>
            </w:pPr>
            <w:r>
              <w:rPr/>
              <w:t> </w:t>
            </w:r>
          </w:p>
        </w:tc>
        <w:tc>
          <w:tcPr>
            <w:tcW w:w="2284" w:type="dxa"/>
            <w:tcBorders>
              <w:bottom w:val="double" w:sz="8" w:space="0" w:color="000000"/>
            </w:tcBorders>
            <w:tcMar>
              <w:bottom w:w="28" w:type="dxa"/>
            </w:tcMar>
            <w:vAlign w:val="center"/>
          </w:tcPr>
          <w:p>
            <w:pPr>
              <w:pStyle w:val="TableContents"/>
              <w:bidi w:val="0"/>
              <w:spacing w:before="0" w:after="283"/>
              <w:jc w:val="right"/>
              <w:rPr>
                <w:b/>
              </w:rPr>
            </w:pPr>
            <w:r>
              <w:rPr>
                <w:b/>
              </w:rPr>
              <w:t>1,431,405</w:t>
            </w:r>
          </w:p>
        </w:tc>
        <w:tc>
          <w:tcPr>
            <w:tcW w:w="139"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On October 27, 2025, the Company’s Board of Directors authorized and approved an amendment to the Company’s stock repurchase program. Pursuant to the amended stock repurchase program, the Company may repurchase up to 2,000,000 shares of the Company’s common stock with all repurchases under the stock repurchase program to be made by December 31, 2027. The Company may repurchase shares of its common stock from time to time to mitigate the potential dilutive effects of stock-based incentive plans and other potential uses of common stock for corporate purposes. The Company purchased 68,595 shares of its common stock during the second quarter of 2026 at an average price of $43.96 per share under its previously announced stock repurchase program. As of June 30, 2026, there were 1,431,405 shares available for repurchase under this plan authorized on October 27, 2025, which is set to expire on December 31, 2027.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286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0" w:right="0" w:hanging="540"/>
        <w:jc w:val="both"/>
        <w:rPr/>
      </w:pPr>
      <w:r>
        <w:rPr/>
        <w:t xml:space="preserve">  </w:t>
      </w:r>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19" w:name="ITEM_3"/>
      <w:bookmarkEnd w:id="19"/>
      <w:r>
        <w:rPr>
          <w:rFonts w:ascii="TimesNewRoman;Times New Roman;Times;Baskerville;Georgia;serif" w:hAnsi="TimesNewRoman;Times New Roman;Times;Baskerville;Georgia;serif"/>
          <w:b/>
          <w:sz w:val="20"/>
        </w:rPr>
        <w:t>DEFAULTS UPON SENIOR SECURITIES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9784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3.</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16891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None </w:t>
      </w:r>
    </w:p>
    <w:p>
      <w:pPr>
        <w:pStyle w:val="TextBody"/>
        <w:bidi w:val="0"/>
        <w:spacing w:before="0" w:after="0"/>
        <w:jc w:val="both"/>
        <w:rPr/>
      </w:pPr>
      <w:r>
        <w:rPr/>
        <w:t xml:space="preserve">  </w:t>
      </w:r>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20" w:name="ITEM_4"/>
      <w:bookmarkEnd w:id="20"/>
      <w:r>
        <w:rPr>
          <w:rFonts w:ascii="TimesNewRoman;Times New Roman;Times;Baskerville;Georgia;serif" w:hAnsi="TimesNewRoman;Times New Roman;Times;Baskerville;Georgia;serif"/>
          <w:b/>
          <w:sz w:val="20"/>
        </w:rPr>
        <w:t>MINE SAFETY DISCLOSURES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9784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4.</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4.</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16891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None </w:t>
      </w:r>
    </w:p>
    <w:p>
      <w:pPr>
        <w:pStyle w:val="TextBody"/>
        <w:bidi w:val="0"/>
        <w:spacing w:before="0" w:after="0"/>
        <w:jc w:val="both"/>
        <w:rPr/>
      </w:pPr>
      <w:r>
        <w:rPr/>
        <w:t xml:space="preserve">  </w:t>
      </w:r>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21" w:name="ITEM_5"/>
      <w:bookmarkEnd w:id="21"/>
      <w:r>
        <w:rPr>
          <w:rFonts w:ascii="TimesNewRoman;Times New Roman;Times;Baskerville;Georgia;serif" w:hAnsi="TimesNewRoman;Times New Roman;Times;Baskerville;Georgia;serif"/>
          <w:b/>
          <w:sz w:val="20"/>
        </w:rPr>
        <w:t>OTHER INFORMATION</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9784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5.</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5.</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16891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During the three months ended June 30, 2026, there were no Rule 10b5-1 plans or non-Rule 10b5-1 trading arrangements adopted, modified or terminated by any director or officer of the Company.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1050"/>
        <w:jc w:val="left"/>
        <w:rPr>
          <w:rFonts w:ascii="TimesNewRoman;Times New Roman;Times;Baskerville;Georgia;serif" w:hAnsi="TimesNewRoman;Times New Roman;Times;Baskerville;Georgia;serif"/>
          <w:sz w:val="20"/>
        </w:rPr>
      </w:pPr>
      <w:bookmarkStart w:id="22" w:name="ITEM_6"/>
      <w:bookmarkEnd w:id="22"/>
      <w:r>
        <w:rPr>
          <w:rFonts w:ascii="TimesNewRoman;Times New Roman;Times;Baskerville;Georgia;serif" w:hAnsi="TimesNewRoman;Times New Roman;Times;Baskerville;Georgia;serif"/>
          <w:b/>
          <w:sz w:val="20"/>
        </w:rPr>
        <w:t>EXHIBITS</w:t>
      </w:r>
      <w:r>
        <w:rPr>
          <w:rFonts w:ascii="TimesNewRoman;Times New Roman;Times;Baskerville;Georgia;serif" w:hAnsi="TimesNewRoman;Times New Roman;Times;Baskerville;Georgia;serif"/>
          <w:sz w:val="20"/>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9784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497840" cy="350520"/>
                        </a:xfrm>
                        <a:prstGeom prst="rect"/>
                        <a:solidFill>
                          <a:srgbClr val="FFFFFF"/>
                        </a:solidFill>
                      </wps:spPr>
                      <wps:txbx>
                        <w:txbxContent>
                          <w:p>
                            <w:pPr>
                              <w:pStyle w:val="TextBody"/>
                              <w:bidi w:val="0"/>
                              <w:spacing w:before="0" w:after="283"/>
                              <w:jc w:val="left"/>
                              <w:rPr/>
                            </w:pPr>
                            <w:r>
                              <w:rPr>
                                <w:b/>
                              </w:rPr>
                              <w:t>ITEM 6.</w:t>
                            </w:r>
                            <w:r>
                              <w:rPr/>
                              <w:t xml:space="preserve"> </w:t>
                            </w:r>
                          </w:p>
                        </w:txbxContent>
                      </wps:txbx>
                      <wps:bodyPr anchor="t" lIns="0" tIns="0" rIns="0" bIns="0">
                        <a:noAutofit/>
                      </wps:bodyPr>
                    </wps:wsp>
                  </a:graphicData>
                </a:graphic>
              </wp:anchor>
            </w:drawing>
          </mc:Choice>
          <mc:Fallback>
            <w:pict>
              <v:rect style="position:absolute;rotation:-0;width:39.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6.</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16891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3.3pt;height:13.8pt;mso-wrap-distance-left:0pt;mso-wrap-distance-right:0pt;mso-wrap-distance-top:0pt;mso-wrap-distance-bottom:0pt;margin-top:0pt;mso-position-vertical:top;mso-position-vertical-relative:text;margin-left:39.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818"/>
        <w:gridCol w:w="9387"/>
      </w:tblGrid>
      <w:tr>
        <w:trPr/>
        <w:tc>
          <w:tcPr>
            <w:tcW w:w="818" w:type="dxa"/>
            <w:tcBorders/>
            <w:vAlign w:val="center"/>
          </w:tcPr>
          <w:p>
            <w:pPr>
              <w:pStyle w:val="TableContents"/>
              <w:bidi w:val="0"/>
              <w:spacing w:before="0" w:after="283"/>
              <w:jc w:val="left"/>
              <w:rPr/>
            </w:pPr>
            <w:r>
              <w:rPr/>
              <w:t> </w:t>
            </w:r>
          </w:p>
        </w:tc>
        <w:tc>
          <w:tcPr>
            <w:tcW w:w="9387" w:type="dxa"/>
            <w:tcBorders/>
            <w:vAlign w:val="center"/>
          </w:tcPr>
          <w:p>
            <w:pPr>
              <w:pStyle w:val="TableContents"/>
              <w:bidi w:val="0"/>
              <w:spacing w:before="0" w:after="283"/>
              <w:jc w:val="left"/>
              <w:rPr/>
            </w:pPr>
            <w:r>
              <w:rPr/>
              <w:t> </w:t>
            </w:r>
          </w:p>
        </w:tc>
      </w:tr>
      <w:tr>
        <w:trPr/>
        <w:tc>
          <w:tcPr>
            <w:tcW w:w="818" w:type="dxa"/>
            <w:tcBorders/>
            <w:shd w:fill="CCEEFF" w:val="clear"/>
            <w:vAlign w:val="center"/>
          </w:tcPr>
          <w:p>
            <w:pPr>
              <w:pStyle w:val="TableContents"/>
              <w:bidi w:val="0"/>
              <w:spacing w:before="0" w:after="0"/>
              <w:jc w:val="left"/>
              <w:rPr/>
            </w:pPr>
            <w:r>
              <w:rPr/>
              <w:t xml:space="preserve">3.1 </w:t>
            </w:r>
          </w:p>
        </w:tc>
        <w:tc>
          <w:tcPr>
            <w:tcW w:w="938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Pr>
                <w:t>Restated Certificate of Incorporation of NBT Bancorp Inc. as amended through July 1, 2015</w:t>
              </w:r>
            </w:hyperlink>
            <w:r>
              <w:rPr/>
              <w:t xml:space="preserve"> (filed as Exhibit 3.1 to Registrant’s Form 10-Q, filed on August 10, 2015 and incorporated herein by reference). </w:t>
            </w:r>
          </w:p>
        </w:tc>
      </w:tr>
      <w:tr>
        <w:trPr/>
        <w:tc>
          <w:tcPr>
            <w:tcW w:w="818" w:type="dxa"/>
            <w:tcBorders/>
            <w:tcMar>
              <w:top w:w="0" w:type="dxa"/>
              <w:left w:w="0" w:type="dxa"/>
              <w:bottom w:w="0" w:type="dxa"/>
              <w:right w:w="0" w:type="dxa"/>
            </w:tcMar>
            <w:vAlign w:val="center"/>
          </w:tcPr>
          <w:p>
            <w:pPr>
              <w:pStyle w:val="TableContents"/>
              <w:bidi w:val="0"/>
              <w:spacing w:before="0" w:after="0"/>
              <w:jc w:val="left"/>
              <w:rPr/>
            </w:pPr>
            <w:r>
              <w:rPr/>
              <w:t xml:space="preserve">3.2 </w:t>
            </w:r>
          </w:p>
        </w:tc>
        <w:tc>
          <w:tcPr>
            <w:tcW w:w="9387"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Pr>
                <w:t>Amended and Restated Bylaws of NBT Bancorp Inc. effective May 22, 2018</w:t>
              </w:r>
            </w:hyperlink>
            <w:r>
              <w:rPr/>
              <w:t xml:space="preserve"> (filed as Exhibit 3.1 to Registrant’s Form 8-K, filed on May 23, 2018 and incorporated herein by reference). </w:t>
            </w:r>
          </w:p>
        </w:tc>
      </w:tr>
      <w:tr>
        <w:trPr/>
        <w:tc>
          <w:tcPr>
            <w:tcW w:w="8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3.3 </w:t>
            </w:r>
          </w:p>
        </w:tc>
        <w:tc>
          <w:tcPr>
            <w:tcW w:w="938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Pr>
                <w:t>Certificate of Designation of the Series A Junior Participating Preferred Stock</w:t>
              </w:r>
            </w:hyperlink>
            <w:r>
              <w:rPr/>
              <w:t xml:space="preserve"> (filed as Exhibit A to Exhibit 4.1 of the Registrant’s Form 8-K, filed on November 18, 2004 and incorporated herein by reference). </w:t>
            </w:r>
          </w:p>
        </w:tc>
      </w:tr>
      <w:tr>
        <w:trPr/>
        <w:tc>
          <w:tcPr>
            <w:tcW w:w="818" w:type="dxa"/>
            <w:tcBorders/>
            <w:tcMar>
              <w:top w:w="0" w:type="dxa"/>
              <w:left w:w="0" w:type="dxa"/>
              <w:bottom w:w="0" w:type="dxa"/>
              <w:right w:w="0" w:type="dxa"/>
            </w:tcMar>
            <w:vAlign w:val="center"/>
          </w:tcPr>
          <w:p>
            <w:pPr>
              <w:pStyle w:val="TableContents"/>
              <w:bidi w:val="0"/>
              <w:spacing w:before="0" w:after="0"/>
              <w:jc w:val="left"/>
              <w:rPr/>
            </w:pPr>
            <w:hyperlink w:anchor="ef20075500_ex31-1.htm">
              <w:r>
                <w:rPr>
                  <w:rStyle w:val="InternetLink"/>
                </w:rPr>
                <w:t>31.1</w:t>
              </w:r>
            </w:hyperlink>
            <w:r>
              <w:rPr/>
              <w:t xml:space="preserve"> </w:t>
            </w:r>
          </w:p>
        </w:tc>
        <w:tc>
          <w:tcPr>
            <w:tcW w:w="9387" w:type="dxa"/>
            <w:tcBorders/>
            <w:tcMar>
              <w:top w:w="0" w:type="dxa"/>
              <w:left w:w="0" w:type="dxa"/>
              <w:bottom w:w="0" w:type="dxa"/>
              <w:right w:w="0" w:type="dxa"/>
            </w:tcMar>
            <w:vAlign w:val="center"/>
          </w:tcPr>
          <w:p>
            <w:pPr>
              <w:pStyle w:val="TableContents"/>
              <w:bidi w:val="0"/>
              <w:spacing w:before="0" w:after="283"/>
              <w:jc w:val="both"/>
              <w:rPr/>
            </w:pPr>
            <w:r>
              <w:rPr/>
              <w:t xml:space="preserve">Certification of the Chief Executive Officer pursuant to Rules 13(a)-14(a)/15(d)-14(e) of the Securities and Exchange Act of 1934. </w:t>
            </w:r>
          </w:p>
        </w:tc>
      </w:tr>
      <w:tr>
        <w:trPr/>
        <w:tc>
          <w:tcPr>
            <w:tcW w:w="818"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500_ex31-2.htm">
              <w:r>
                <w:rPr>
                  <w:rStyle w:val="InternetLink"/>
                </w:rPr>
                <w:t>31.2</w:t>
              </w:r>
            </w:hyperlink>
            <w:r>
              <w:rPr/>
              <w:t xml:space="preserve"> </w:t>
            </w:r>
          </w:p>
        </w:tc>
        <w:tc>
          <w:tcPr>
            <w:tcW w:w="9387"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Certification of the Chief Financial Officer pursuant to Rules 13(a)-14(a)/15(d)-14(e) of the Securities and Exchange Act of 1934. </w:t>
            </w:r>
          </w:p>
        </w:tc>
      </w:tr>
      <w:tr>
        <w:trPr/>
        <w:tc>
          <w:tcPr>
            <w:tcW w:w="818" w:type="dxa"/>
            <w:tcBorders/>
            <w:tcMar>
              <w:top w:w="0" w:type="dxa"/>
              <w:left w:w="0" w:type="dxa"/>
              <w:bottom w:w="0" w:type="dxa"/>
              <w:right w:w="0" w:type="dxa"/>
            </w:tcMar>
            <w:vAlign w:val="center"/>
          </w:tcPr>
          <w:p>
            <w:pPr>
              <w:pStyle w:val="TableContents"/>
              <w:bidi w:val="0"/>
              <w:spacing w:before="0" w:after="0"/>
              <w:jc w:val="left"/>
              <w:rPr/>
            </w:pPr>
            <w:hyperlink w:anchor="ef20075500_ex32-1.htm">
              <w:r>
                <w:rPr>
                  <w:rStyle w:val="InternetLink"/>
                </w:rPr>
                <w:t>32.1</w:t>
              </w:r>
            </w:hyperlink>
            <w:r>
              <w:rPr/>
              <w:t xml:space="preserve"> </w:t>
            </w:r>
          </w:p>
        </w:tc>
        <w:tc>
          <w:tcPr>
            <w:tcW w:w="9387" w:type="dxa"/>
            <w:tcBorders/>
            <w:tcMar>
              <w:top w:w="0" w:type="dxa"/>
              <w:left w:w="0" w:type="dxa"/>
              <w:bottom w:w="0" w:type="dxa"/>
              <w:right w:w="0" w:type="dxa"/>
            </w:tcMar>
            <w:vAlign w:val="center"/>
          </w:tcPr>
          <w:p>
            <w:pPr>
              <w:pStyle w:val="TableContents"/>
              <w:bidi w:val="0"/>
              <w:spacing w:before="0" w:after="283"/>
              <w:jc w:val="both"/>
              <w:rPr/>
            </w:pPr>
            <w:r>
              <w:rPr/>
              <w:t xml:space="preserve">Certification of the Chief Executive Officer pursuant to 18 U.S.C. 1350, as adopted pursuant to Section 906 of the Sarbanes-Oxley Act of 2002. </w:t>
            </w:r>
          </w:p>
        </w:tc>
      </w:tr>
      <w:tr>
        <w:trPr/>
        <w:tc>
          <w:tcPr>
            <w:tcW w:w="818"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500_ex32-2.htm">
              <w:r>
                <w:rPr>
                  <w:rStyle w:val="InternetLink"/>
                </w:rPr>
                <w:t>32.2</w:t>
              </w:r>
            </w:hyperlink>
            <w:r>
              <w:rPr/>
              <w:t xml:space="preserve"> </w:t>
            </w:r>
          </w:p>
        </w:tc>
        <w:tc>
          <w:tcPr>
            <w:tcW w:w="9387"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Certification of the Chief Financial Officer pursuant to 18 U.S.C. 1350, as adopted pursuant to Section 906 of the Sarbanes-Oxley Act of 2002. </w:t>
            </w:r>
          </w:p>
        </w:tc>
      </w:tr>
      <w:tr>
        <w:trPr/>
        <w:tc>
          <w:tcPr>
            <w:tcW w:w="818" w:type="dxa"/>
            <w:tcBorders/>
            <w:tcMar>
              <w:top w:w="0" w:type="dxa"/>
              <w:left w:w="0" w:type="dxa"/>
              <w:bottom w:w="0" w:type="dxa"/>
              <w:right w:w="0" w:type="dxa"/>
            </w:tcMar>
            <w:vAlign w:val="center"/>
          </w:tcPr>
          <w:p>
            <w:pPr>
              <w:pStyle w:val="TableContents"/>
              <w:bidi w:val="0"/>
              <w:spacing w:before="0" w:after="0"/>
              <w:jc w:val="left"/>
              <w:rPr/>
            </w:pPr>
            <w:r>
              <w:rPr/>
              <w:t xml:space="preserve">101.INS </w:t>
            </w:r>
          </w:p>
        </w:tc>
        <w:tc>
          <w:tcPr>
            <w:tcW w:w="9387" w:type="dxa"/>
            <w:tcBorders/>
            <w:tcMar>
              <w:top w:w="0" w:type="dxa"/>
              <w:left w:w="0" w:type="dxa"/>
              <w:bottom w:w="0" w:type="dxa"/>
              <w:right w:w="0" w:type="dxa"/>
            </w:tcMar>
            <w:vAlign w:val="center"/>
          </w:tcPr>
          <w:p>
            <w:pPr>
              <w:pStyle w:val="TableContents"/>
              <w:bidi w:val="0"/>
              <w:spacing w:before="0" w:after="283"/>
              <w:jc w:val="both"/>
              <w:rPr/>
            </w:pPr>
            <w:r>
              <w:rPr/>
              <w:t xml:space="preserve">Inline XBRL Instance Document (the instance document does not appear in the Interactive Data File because its XBRL tags are embedded within the Inline XBRL document). </w:t>
            </w:r>
          </w:p>
        </w:tc>
      </w:tr>
      <w:tr>
        <w:trPr/>
        <w:tc>
          <w:tcPr>
            <w:tcW w:w="8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101.SCH </w:t>
            </w:r>
          </w:p>
        </w:tc>
        <w:tc>
          <w:tcPr>
            <w:tcW w:w="9387"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Inline XBRL Taxonomy Extension Schema Document. </w:t>
            </w:r>
          </w:p>
        </w:tc>
      </w:tr>
      <w:tr>
        <w:trPr/>
        <w:tc>
          <w:tcPr>
            <w:tcW w:w="818" w:type="dxa"/>
            <w:tcBorders/>
            <w:tcMar>
              <w:top w:w="0" w:type="dxa"/>
              <w:left w:w="0" w:type="dxa"/>
              <w:bottom w:w="0" w:type="dxa"/>
              <w:right w:w="0" w:type="dxa"/>
            </w:tcMar>
            <w:vAlign w:val="center"/>
          </w:tcPr>
          <w:p>
            <w:pPr>
              <w:pStyle w:val="TableContents"/>
              <w:bidi w:val="0"/>
              <w:spacing w:before="0" w:after="0"/>
              <w:jc w:val="left"/>
              <w:rPr/>
            </w:pPr>
            <w:r>
              <w:rPr/>
              <w:t xml:space="preserve">101.CAL </w:t>
            </w:r>
          </w:p>
        </w:tc>
        <w:tc>
          <w:tcPr>
            <w:tcW w:w="9387" w:type="dxa"/>
            <w:tcBorders/>
            <w:tcMar>
              <w:top w:w="0" w:type="dxa"/>
              <w:left w:w="0" w:type="dxa"/>
              <w:bottom w:w="0" w:type="dxa"/>
              <w:right w:w="0" w:type="dxa"/>
            </w:tcMar>
            <w:vAlign w:val="center"/>
          </w:tcPr>
          <w:p>
            <w:pPr>
              <w:pStyle w:val="TableContents"/>
              <w:bidi w:val="0"/>
              <w:spacing w:before="0" w:after="283"/>
              <w:jc w:val="both"/>
              <w:rPr/>
            </w:pPr>
            <w:r>
              <w:rPr/>
              <w:t xml:space="preserve">Inline XBRL Taxonomy Extension Calculation Linkbase Document. </w:t>
            </w:r>
          </w:p>
        </w:tc>
      </w:tr>
      <w:tr>
        <w:trPr/>
        <w:tc>
          <w:tcPr>
            <w:tcW w:w="8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101.DEF </w:t>
            </w:r>
          </w:p>
        </w:tc>
        <w:tc>
          <w:tcPr>
            <w:tcW w:w="9387"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Inline XBRL Taxonomy Extension Definition Linkbase Document. </w:t>
            </w:r>
          </w:p>
        </w:tc>
      </w:tr>
      <w:tr>
        <w:trPr/>
        <w:tc>
          <w:tcPr>
            <w:tcW w:w="818" w:type="dxa"/>
            <w:tcBorders/>
            <w:tcMar>
              <w:top w:w="0" w:type="dxa"/>
              <w:left w:w="0" w:type="dxa"/>
              <w:bottom w:w="0" w:type="dxa"/>
              <w:right w:w="0" w:type="dxa"/>
            </w:tcMar>
            <w:vAlign w:val="center"/>
          </w:tcPr>
          <w:p>
            <w:pPr>
              <w:pStyle w:val="TableContents"/>
              <w:bidi w:val="0"/>
              <w:spacing w:before="0" w:after="0"/>
              <w:jc w:val="left"/>
              <w:rPr/>
            </w:pPr>
            <w:r>
              <w:rPr/>
              <w:t xml:space="preserve">101.LAB </w:t>
            </w:r>
          </w:p>
        </w:tc>
        <w:tc>
          <w:tcPr>
            <w:tcW w:w="9387" w:type="dxa"/>
            <w:tcBorders/>
            <w:tcMar>
              <w:top w:w="0" w:type="dxa"/>
              <w:left w:w="0" w:type="dxa"/>
              <w:bottom w:w="0" w:type="dxa"/>
              <w:right w:w="0" w:type="dxa"/>
            </w:tcMar>
            <w:vAlign w:val="center"/>
          </w:tcPr>
          <w:p>
            <w:pPr>
              <w:pStyle w:val="TableContents"/>
              <w:bidi w:val="0"/>
              <w:spacing w:before="0" w:after="283"/>
              <w:jc w:val="both"/>
              <w:rPr/>
            </w:pPr>
            <w:r>
              <w:rPr/>
              <w:t xml:space="preserve">Inline XBRL Taxonomy Extension Label Linkbase Document. </w:t>
            </w:r>
          </w:p>
        </w:tc>
      </w:tr>
      <w:tr>
        <w:trPr/>
        <w:tc>
          <w:tcPr>
            <w:tcW w:w="8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101.PRE </w:t>
            </w:r>
          </w:p>
        </w:tc>
        <w:tc>
          <w:tcPr>
            <w:tcW w:w="9387"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Inline XBRL Taxonomy Extension Presentation Linkbase Document. </w:t>
            </w:r>
          </w:p>
        </w:tc>
      </w:tr>
      <w:tr>
        <w:trPr/>
        <w:tc>
          <w:tcPr>
            <w:tcW w:w="818" w:type="dxa"/>
            <w:tcBorders/>
            <w:tcMar>
              <w:top w:w="0" w:type="dxa"/>
              <w:left w:w="0" w:type="dxa"/>
              <w:bottom w:w="0" w:type="dxa"/>
              <w:right w:w="0" w:type="dxa"/>
            </w:tcMar>
            <w:vAlign w:val="center"/>
          </w:tcPr>
          <w:p>
            <w:pPr>
              <w:pStyle w:val="TableContents"/>
              <w:bidi w:val="0"/>
              <w:spacing w:before="0" w:after="0"/>
              <w:jc w:val="left"/>
              <w:rPr/>
            </w:pPr>
            <w:r>
              <w:rPr/>
              <w:t xml:space="preserve">104 </w:t>
            </w:r>
          </w:p>
        </w:tc>
        <w:tc>
          <w:tcPr>
            <w:tcW w:w="9387" w:type="dxa"/>
            <w:tcBorders/>
            <w:tcMar>
              <w:top w:w="0" w:type="dxa"/>
              <w:left w:w="0" w:type="dxa"/>
              <w:bottom w:w="0" w:type="dxa"/>
              <w:right w:w="0" w:type="dxa"/>
            </w:tcMar>
            <w:vAlign w:val="center"/>
          </w:tcPr>
          <w:p>
            <w:pPr>
              <w:pStyle w:val="TableContents"/>
              <w:bidi w:val="0"/>
              <w:spacing w:before="0" w:after="283"/>
              <w:jc w:val="both"/>
              <w:rPr/>
            </w:pPr>
            <w:r>
              <w:rPr/>
              <w:t xml:space="preserve">Cover Page Interactive Data File (formatted as inline XBRL and contained in Exhibit 101).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NewRoman;Times New Roman;Times;Baskerville;Georgia;serif" w:hAnsi="TimesNewRoman;Times New Roman;Times;Baskerville;Georgia;serif"/>
          <w:sz w:val="20"/>
        </w:rPr>
      </w:pPr>
      <w:bookmarkStart w:id="23" w:name="SIGNATURES"/>
      <w:bookmarkEnd w:id="23"/>
      <w:r>
        <w:rPr>
          <w:rFonts w:ascii="TimesNewRoman;Times New Roman;Times;Baskerville;Georgia;serif" w:hAnsi="TimesNewRoman;Times New Roman;Times;Baskerville;Georgia;serif"/>
          <w:b/>
          <w:sz w:val="20"/>
        </w:rPr>
        <w:t>SIGNATURES</w:t>
      </w:r>
      <w:r>
        <w:rPr>
          <w:rFonts w:ascii="TimesNewRoman;Times New Roman;Times;Baskerville;Georgia;serif" w:hAnsi="TimesNewRoman;Times New Roman;Times;Baskerville;Georgia;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Pursuant to the requirements of the Securities Exchange Act of 1934, the Registrant has duly caused this report to be signed on its behalf by the undersigned thereunto duly authorized, this 7th day of August 2026. </w:t>
      </w:r>
    </w:p>
    <w:p>
      <w:pPr>
        <w:pStyle w:val="TextBody"/>
        <w:bidi w:val="0"/>
        <w:spacing w:before="0" w:after="0"/>
        <w:jc w:val="both"/>
        <w:rPr/>
      </w:pPr>
      <w:r>
        <w:rPr/>
        <w:t xml:space="preserve">  </w:t>
      </w:r>
    </w:p>
    <w:tbl>
      <w:tblPr>
        <w:tblW w:w="3298" w:type="dxa"/>
        <w:jc w:val="left"/>
        <w:tblInd w:w="0" w:type="dxa"/>
        <w:tblLayout w:type="fixed"/>
        <w:tblCellMar>
          <w:top w:w="28" w:type="dxa"/>
          <w:left w:w="28" w:type="dxa"/>
          <w:bottom w:w="28" w:type="dxa"/>
          <w:right w:w="28" w:type="dxa"/>
        </w:tblCellMar>
      </w:tblPr>
      <w:tblGrid>
        <w:gridCol w:w="526"/>
        <w:gridCol w:w="2521"/>
        <w:gridCol w:w="251"/>
      </w:tblGrid>
      <w:tr>
        <w:trPr/>
        <w:tc>
          <w:tcPr>
            <w:tcW w:w="52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21" w:type="dxa"/>
            <w:tcBorders/>
            <w:tcMar>
              <w:top w:w="0" w:type="dxa"/>
              <w:left w:w="0" w:type="dxa"/>
              <w:bottom w:w="0" w:type="dxa"/>
              <w:right w:w="0" w:type="dxa"/>
            </w:tcMar>
            <w:vAlign w:val="center"/>
          </w:tcPr>
          <w:p>
            <w:pPr>
              <w:pStyle w:val="TableContents"/>
              <w:bidi w:val="0"/>
              <w:spacing w:before="0" w:after="0"/>
              <w:jc w:val="left"/>
              <w:rPr/>
            </w:pPr>
            <w:r>
              <w:rPr>
                <w:b/>
              </w:rPr>
              <w:t>NBT BANCORP INC.</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52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Annette L. Burns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21" w:type="dxa"/>
            <w:tcBorders/>
            <w:tcMar>
              <w:top w:w="0" w:type="dxa"/>
              <w:left w:w="0" w:type="dxa"/>
              <w:bottom w:w="0" w:type="dxa"/>
              <w:right w:w="0" w:type="dxa"/>
            </w:tcMar>
            <w:vAlign w:val="center"/>
          </w:tcPr>
          <w:p>
            <w:pPr>
              <w:pStyle w:val="TableContents"/>
              <w:bidi w:val="0"/>
              <w:spacing w:before="0" w:after="0"/>
              <w:jc w:val="left"/>
              <w:rPr/>
            </w:pPr>
            <w:r>
              <w:rPr/>
              <w:t xml:space="preserve">Annette L. Burns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21"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rFonts w:ascii="TimesNewRoman;Times New Roman;Times;Baskerville;Georgia;serif" w:hAnsi="TimesNewRoman;Times New Roman;Times;Baskerville;Georgia;serif"/>
          <w:sz w:val="16"/>
        </w:rPr>
      </w:pPr>
      <w:r>
        <w:rPr>
          <w:rFonts w:ascii="TimesNewRoman;Times New Roman;Times;Baskerville;Georgia;serif" w:hAnsi="TimesNewRoman;Times New Roman;Times;Baskerville;Georgia;serif"/>
          <w:sz w:val="16"/>
        </w:rPr>
        <w:t>59</w:t>
      </w:r>
    </w:p>
    <w:p>
      <w:pPr>
        <w:pStyle w:val="HorizontalLine"/>
        <w:pBdr>
          <w:bottom w:val="double" w:sz="2" w:space="0" w:color="808080"/>
        </w:pBdr>
        <w:bidi w:val="0"/>
        <w:spacing w:before="0" w:after="283"/>
        <w:jc w:val="left"/>
        <w:rPr/>
      </w:pPr>
      <w:r>
        <w:rPr/>
      </w:r>
    </w:p>
    <w:p>
      <w:pPr>
        <w:pStyle w:val="HorizontalLine"/>
        <w:bidi w:val="0"/>
        <w:jc w:val="left"/>
        <w:rPr/>
      </w:pPr>
      <w:r>
        <w:rPr/>
      </w:r>
      <w:bookmarkStart w:id="24" w:name="ef20075500_ex31-1.htm"/>
      <w:bookmarkStart w:id="25" w:name="ksef20075500_ex311"/>
      <w:bookmarkStart w:id="26" w:name="ef20075500_ex31-1.htm"/>
      <w:bookmarkStart w:id="27" w:name="ksef20075500_ex311"/>
      <w:bookmarkEnd w:id="26"/>
      <w:bookmarkEnd w:id="27"/>
      <w:r>
        <w:br w:type="page"/>
      </w:r>
    </w:p>
    <w:p>
      <w:pPr>
        <w:pStyle w:val="TextBody"/>
        <w:bidi w:val="0"/>
        <w:spacing w:before="0" w:after="0"/>
        <w:jc w:val="center"/>
        <w:rPr>
          <w:sz w:val="20"/>
        </w:rPr>
      </w:pPr>
      <w:r>
        <w:rPr>
          <w:color w:val="000000"/>
          <w:sz w:val="20"/>
        </w:rPr>
        <w:t>EXHIBIT 31.1</w:t>
      </w:r>
      <w:r>
        <w:rPr>
          <w:sz w:val="20"/>
        </w:rPr>
        <w:t xml:space="preserve"> </w:t>
      </w:r>
    </w:p>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CERTIFICATION OF PRINCIPAL EXECUTIVE OFFICER PURSUANT TO SECTION 302 OF THE SARBANES-OXLEY ACT OF 2002</w:t>
      </w:r>
      <w:r>
        <w:rPr>
          <w:sz w:val="20"/>
        </w:rPr>
        <w:t xml:space="preserve"> </w:t>
      </w:r>
    </w:p>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I, Scott A. Kingsley, certify that:</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1. I have reviewed this quarterly report on Form 10-Q of NBT Bancorp Inc.</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0" w:right="0" w:hanging="360"/>
        <w:jc w:val="both"/>
        <w:rPr>
          <w:sz w:val="20"/>
        </w:rPr>
      </w:pPr>
      <w:r>
        <w:rPr>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sz w:val="20"/>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28600" cy="146685"/>
                <wp:effectExtent l="0" t="0" r="0" b="0"/>
                <wp:wrapSquare wrapText="right"/>
                <wp:docPr id="55" name="Frame5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a)</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a)</w:t>
                      </w:r>
                      <w:r>
                        <w:rPr>
                          <w:sz w:val="20"/>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both"/>
        <w:rPr>
          <w:sz w:val="20"/>
        </w:rPr>
      </w:pPr>
      <w:r>
        <w:rPr>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sz w:val="20"/>
        </w:rPr>
        <w:t xml:space="preserv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28600" cy="146685"/>
                <wp:effectExtent l="0" t="0" r="0" b="0"/>
                <wp:wrapSquare wrapText="right"/>
                <wp:docPr id="56" name="Frame5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b)</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b)</w:t>
                      </w:r>
                      <w:r>
                        <w:rPr>
                          <w:sz w:val="20"/>
                        </w:rPr>
                        <w:t xml:space="preserve"> </w:t>
                      </w:r>
                    </w:p>
                  </w:txbxContent>
                </v:textbox>
                <w10:wrap type="square" side="right"/>
              </v:rect>
            </w:pict>
          </mc:Fallback>
        </mc:AlternateContent>
      </w:r>
    </w:p>
    <w:p>
      <w:pPr>
        <w:pStyle w:val="TextBody"/>
        <w:bidi w:val="0"/>
        <w:spacing w:before="0" w:after="0"/>
        <w:ind w:left="0" w:right="0" w:hanging="360"/>
        <w:jc w:val="left"/>
        <w:rPr/>
      </w:pPr>
      <w:r>
        <w:rPr>
          <w:color w:val="000000"/>
        </w:rPr>
        <w:t> </w:t>
      </w:r>
      <w:r>
        <w:rPr/>
        <w:t xml:space="preserve"> </w:t>
      </w:r>
    </w:p>
    <w:p>
      <w:pPr>
        <w:pStyle w:val="TextBody"/>
        <w:bidi w:val="0"/>
        <w:spacing w:before="0" w:after="0"/>
        <w:ind w:left="0" w:right="0" w:hanging="360"/>
        <w:jc w:val="both"/>
        <w:rPr>
          <w:sz w:val="20"/>
        </w:rPr>
      </w:pPr>
      <w:r>
        <w:rPr>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sz w:val="20"/>
        </w:rPr>
        <w:t xml:space="preserve">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28600" cy="146685"/>
                <wp:effectExtent l="0" t="0" r="0" b="0"/>
                <wp:wrapSquare wrapText="right"/>
                <wp:docPr id="57" name="Frame5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c)</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c)</w:t>
                      </w:r>
                      <w:r>
                        <w:rPr>
                          <w:sz w:val="20"/>
                        </w:rPr>
                        <w:t xml:space="preserve"> </w:t>
                      </w:r>
                    </w:p>
                  </w:txbxContent>
                </v:textbox>
                <w10:wrap type="square" side="right"/>
              </v:rect>
            </w:pict>
          </mc:Fallback>
        </mc:AlternateContent>
      </w:r>
    </w:p>
    <w:p>
      <w:pPr>
        <w:pStyle w:val="TextBody"/>
        <w:bidi w:val="0"/>
        <w:spacing w:before="0" w:after="0"/>
        <w:ind w:left="0" w:right="0" w:hanging="360"/>
        <w:jc w:val="left"/>
        <w:rPr/>
      </w:pPr>
      <w:r>
        <w:rPr>
          <w:color w:val="000000"/>
        </w:rPr>
        <w:t> </w:t>
      </w:r>
      <w:r>
        <w:rPr/>
        <w:t xml:space="preserve"> </w:t>
      </w:r>
    </w:p>
    <w:p>
      <w:pPr>
        <w:pStyle w:val="TextBody"/>
        <w:bidi w:val="0"/>
        <w:spacing w:before="0" w:after="0"/>
        <w:ind w:left="0" w:right="0" w:hanging="360"/>
        <w:jc w:val="both"/>
        <w:rPr>
          <w:sz w:val="20"/>
        </w:rPr>
      </w:pPr>
      <w:r>
        <w:rPr>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sz w:val="20"/>
        </w:rPr>
        <w:t xml:space="preserve">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228600" cy="146685"/>
                <wp:effectExtent l="0" t="0" r="0" b="0"/>
                <wp:wrapSquare wrapText="right"/>
                <wp:docPr id="58" name="Frame5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d)</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d)</w:t>
                      </w:r>
                      <w:r>
                        <w:rPr>
                          <w:sz w:val="20"/>
                        </w:rPr>
                        <w:t xml:space="preserve"> </w:t>
                      </w:r>
                    </w:p>
                  </w:txbxContent>
                </v:textbox>
                <w10:wrap type="square" side="right"/>
              </v:rect>
            </w:pict>
          </mc:Fallback>
        </mc:AlternateConten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0" w:right="0" w:hanging="360"/>
        <w:jc w:val="both"/>
        <w:rPr>
          <w:sz w:val="20"/>
        </w:rPr>
      </w:pPr>
      <w:r>
        <w:rPr>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sz w:val="20"/>
        </w:rPr>
        <w:t xml:space="preser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 cy="146685"/>
                <wp:effectExtent l="0" t="0" r="0" b="0"/>
                <wp:wrapSquare wrapText="right"/>
                <wp:docPr id="59" name="Frame5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a)</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a)</w:t>
                      </w:r>
                      <w:r>
                        <w:rPr>
                          <w:sz w:val="20"/>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both"/>
        <w:rPr>
          <w:sz w:val="20"/>
        </w:rPr>
      </w:pPr>
      <w:r>
        <w:rPr>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 cy="146685"/>
                <wp:effectExtent l="0" t="0" r="0" b="0"/>
                <wp:wrapSquare wrapText="right"/>
                <wp:docPr id="60" name="Frame60"/>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Date: August 7, 2026</w:t>
      </w:r>
      <w:r>
        <w:rPr>
          <w:sz w:val="20"/>
        </w:rPr>
        <w:t xml:space="preserve"> </w:t>
      </w:r>
    </w:p>
    <w:p>
      <w:pPr>
        <w:pStyle w:val="TextBody"/>
        <w:bidi w:val="0"/>
        <w:spacing w:before="0" w:after="0"/>
        <w:jc w:val="left"/>
        <w:rPr/>
      </w:pPr>
      <w:r>
        <w:rPr>
          <w:color w:val="000000"/>
        </w:rPr>
        <w:t> </w:t>
      </w:r>
      <w:r>
        <w:rPr/>
        <w:t xml:space="preserve"> </w:t>
      </w:r>
    </w:p>
    <w:tbl>
      <w:tblPr>
        <w:tblW w:w="3001" w:type="dxa"/>
        <w:jc w:val="left"/>
        <w:tblInd w:w="0" w:type="dxa"/>
        <w:tblLayout w:type="fixed"/>
        <w:tblCellMar>
          <w:top w:w="28" w:type="dxa"/>
          <w:left w:w="28" w:type="dxa"/>
          <w:bottom w:w="28" w:type="dxa"/>
          <w:right w:w="28" w:type="dxa"/>
        </w:tblCellMar>
      </w:tblPr>
      <w:tblGrid>
        <w:gridCol w:w="526"/>
        <w:gridCol w:w="2272"/>
        <w:gridCol w:w="203"/>
      </w:tblGrid>
      <w:tr>
        <w:trPr/>
        <w:tc>
          <w:tcPr>
            <w:tcW w:w="526"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color w:val="000000"/>
              </w:rPr>
              <w:t>By:</w:t>
            </w:r>
            <w:r>
              <w:rPr/>
              <w:t xml:space="preserve"> </w:t>
            </w:r>
          </w:p>
        </w:tc>
        <w:tc>
          <w:tcPr>
            <w:tcW w:w="2272"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Scott A. Kingsley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Scott A. Kingsley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Chief Executive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28" w:name="ef20075500_ex31-2.htm"/>
      <w:bookmarkStart w:id="29" w:name="ksef20075500_ex312"/>
      <w:bookmarkStart w:id="30" w:name="ef20075500_ex31-2.htm"/>
      <w:bookmarkStart w:id="31" w:name="ksef20075500_ex312"/>
      <w:bookmarkEnd w:id="30"/>
      <w:bookmarkEnd w:id="31"/>
      <w:r>
        <w:br w:type="page"/>
      </w:r>
    </w:p>
    <w:p>
      <w:pPr>
        <w:pStyle w:val="TextBody"/>
        <w:bidi w:val="0"/>
        <w:spacing w:before="0" w:after="0"/>
        <w:jc w:val="center"/>
        <w:rPr>
          <w:sz w:val="20"/>
        </w:rPr>
      </w:pPr>
      <w:r>
        <w:rPr>
          <w:color w:val="000000"/>
          <w:sz w:val="20"/>
        </w:rPr>
        <w:t>EXHIBIT 31.2</w:t>
      </w:r>
      <w:r>
        <w:rPr>
          <w:sz w:val="20"/>
        </w:rPr>
        <w:t xml:space="preserve"> </w:t>
      </w:r>
    </w:p>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CERTIFICATION OF PRINCIPAL FINANCIAL OFFICER PURSUANT TO SECTION 302 OF THE SARBANES-OXLEY ACT OF 2002</w:t>
      </w:r>
      <w:r>
        <w:rPr>
          <w:sz w:val="20"/>
        </w:rPr>
        <w:t xml:space="preserve"> </w:t>
      </w:r>
    </w:p>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I, Annette L. Burns, certify that:</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1. I have reviewed this quarterly report on Form 10-Q of NBT Bancorp Inc.</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0" w:right="0" w:hanging="360"/>
        <w:jc w:val="both"/>
        <w:rPr>
          <w:sz w:val="20"/>
        </w:rPr>
      </w:pPr>
      <w:r>
        <w:rPr>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46685"/>
                <wp:effectExtent l="0" t="0" r="0" b="0"/>
                <wp:wrapSquare wrapText="right"/>
                <wp:docPr id="61" name="Frame61"/>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a)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 </w:t>
                      </w:r>
                    </w:p>
                  </w:txbxContent>
                </v:textbox>
                <w10:wrap type="square" side="right"/>
              </v:rect>
            </w:pict>
          </mc:Fallback>
        </mc:AlternateContent>
      </w:r>
    </w:p>
    <w:p>
      <w:pPr>
        <w:pStyle w:val="TextBody"/>
        <w:bidi w:val="0"/>
        <w:spacing w:before="0" w:after="0"/>
        <w:ind w:left="0" w:right="0" w:hanging="360"/>
        <w:jc w:val="left"/>
        <w:rPr/>
      </w:pPr>
      <w:r>
        <w:rPr>
          <w:color w:val="000000"/>
        </w:rPr>
        <w:t> </w:t>
      </w:r>
      <w:r>
        <w:rPr/>
        <w:t xml:space="preserve"> </w:t>
      </w:r>
    </w:p>
    <w:p>
      <w:pPr>
        <w:pStyle w:val="TextBody"/>
        <w:bidi w:val="0"/>
        <w:spacing w:before="0" w:after="0"/>
        <w:ind w:left="0" w:right="0" w:hanging="360"/>
        <w:jc w:val="both"/>
        <w:rPr>
          <w:sz w:val="20"/>
        </w:rPr>
      </w:pPr>
      <w:r>
        <w:rPr>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sz w:val="20"/>
        </w:rPr>
        <w:t xml:space="preserve">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46685"/>
                <wp:effectExtent l="0" t="0" r="0" b="0"/>
                <wp:wrapSquare wrapText="right"/>
                <wp:docPr id="62" name="Frame6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b)</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b)</w:t>
                      </w:r>
                      <w:r>
                        <w:rPr>
                          <w:sz w:val="20"/>
                        </w:rPr>
                        <w:t xml:space="preserve"> </w:t>
                      </w:r>
                    </w:p>
                  </w:txbxContent>
                </v:textbox>
                <w10:wrap type="square" side="right"/>
              </v:rect>
            </w:pict>
          </mc:Fallback>
        </mc:AlternateContent>
      </w:r>
    </w:p>
    <w:p>
      <w:pPr>
        <w:pStyle w:val="TextBody"/>
        <w:bidi w:val="0"/>
        <w:spacing w:before="0" w:after="0"/>
        <w:ind w:left="0" w:right="0" w:hanging="360"/>
        <w:jc w:val="left"/>
        <w:rPr/>
      </w:pPr>
      <w:r>
        <w:rPr>
          <w:color w:val="000000"/>
        </w:rPr>
        <w:t> </w:t>
      </w:r>
      <w:r>
        <w:rPr/>
        <w:t xml:space="preserve"> </w:t>
      </w:r>
    </w:p>
    <w:p>
      <w:pPr>
        <w:pStyle w:val="TextBody"/>
        <w:bidi w:val="0"/>
        <w:spacing w:before="0" w:after="0"/>
        <w:ind w:left="0" w:right="0" w:hanging="360"/>
        <w:jc w:val="both"/>
        <w:rPr>
          <w:sz w:val="20"/>
        </w:rPr>
      </w:pPr>
      <w:r>
        <w:rPr>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228600" cy="146685"/>
                <wp:effectExtent l="0" t="0" r="0" b="0"/>
                <wp:wrapSquare wrapText="right"/>
                <wp:docPr id="63" name="Frame6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c)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c) </w:t>
                      </w:r>
                    </w:p>
                  </w:txbxContent>
                </v:textbox>
                <w10:wrap type="square" side="right"/>
              </v:rect>
            </w:pict>
          </mc:Fallback>
        </mc:AlternateContent>
      </w:r>
    </w:p>
    <w:p>
      <w:pPr>
        <w:pStyle w:val="TextBody"/>
        <w:bidi w:val="0"/>
        <w:spacing w:before="0" w:after="0"/>
        <w:ind w:left="540" w:right="0" w:hanging="0"/>
        <w:jc w:val="both"/>
        <w:rPr/>
      </w:pPr>
      <w:r>
        <w:rPr/>
        <w:t xml:space="preserve">  </w:t>
      </w:r>
    </w:p>
    <w:p>
      <w:pPr>
        <w:pStyle w:val="TextBody"/>
        <w:bidi w:val="0"/>
        <w:spacing w:before="0" w:after="0"/>
        <w:ind w:left="0" w:right="0" w:hanging="360"/>
        <w:jc w:val="both"/>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color w:val="000000"/>
        </w:rPr>
        <w:t> </w:t>
      </w:r>
      <w:r>
        <w:rPr/>
        <w:t xml:space="preserve"> </w:t>
      </w:r>
    </w:p>
    <w:p>
      <w:pPr>
        <w:pStyle w:val="TextBody"/>
        <w:bidi w:val="0"/>
        <w:spacing w:before="0" w:after="0"/>
        <w:jc w:val="both"/>
        <w:rPr>
          <w:sz w:val="20"/>
        </w:rPr>
      </w:pPr>
      <w:r>
        <w:rPr>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0" w:right="0" w:hanging="360"/>
        <w:jc w:val="both"/>
        <w:rPr>
          <w:sz w:val="20"/>
        </w:rPr>
      </w:pPr>
      <w:r>
        <w:rPr>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w:rPr>
          <w:sz w:val="20"/>
        </w:rPr>
        <w:t xml:space="preserv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46685"/>
                <wp:effectExtent l="0" t="0" r="0" b="0"/>
                <wp:wrapSquare wrapText="right"/>
                <wp:docPr id="64" name="Frame6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a)</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a)</w:t>
                      </w:r>
                      <w:r>
                        <w:rPr>
                          <w:sz w:val="20"/>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both"/>
        <w:rPr>
          <w:sz w:val="20"/>
        </w:rPr>
      </w:pPr>
      <w:r>
        <w:rPr>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28600" cy="146685"/>
                <wp:effectExtent l="0" t="0" r="0" b="0"/>
                <wp:wrapSquare wrapText="right"/>
                <wp:docPr id="65" name="Frame6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jc w:val="left"/>
        <w:rPr/>
      </w:pPr>
      <w:r>
        <w:rPr>
          <w:color w:val="000000"/>
        </w:rPr>
        <w:t> </w:t>
      </w:r>
      <w:r>
        <w:rPr/>
        <w:t xml:space="preserve"> </w:t>
      </w:r>
    </w:p>
    <w:p>
      <w:pPr>
        <w:pStyle w:val="TextBody"/>
        <w:bidi w:val="0"/>
        <w:spacing w:before="0" w:after="0"/>
        <w:jc w:val="left"/>
        <w:rPr>
          <w:sz w:val="20"/>
        </w:rPr>
      </w:pPr>
      <w:r>
        <w:rPr>
          <w:color w:val="000000"/>
          <w:sz w:val="20"/>
        </w:rPr>
        <w:t>Date: August 7, 2026</w:t>
      </w:r>
      <w:r>
        <w:rPr>
          <w:sz w:val="20"/>
        </w:rPr>
        <w:t xml:space="preserve"> </w:t>
      </w:r>
    </w:p>
    <w:p>
      <w:pPr>
        <w:pStyle w:val="TextBody"/>
        <w:bidi w:val="0"/>
        <w:spacing w:before="0" w:after="0"/>
        <w:jc w:val="both"/>
        <w:rPr/>
      </w:pPr>
      <w:r>
        <w:rPr>
          <w:color w:val="000000"/>
        </w:rPr>
        <w:t> </w:t>
      </w:r>
      <w:r>
        <w:rPr/>
        <w:t xml:space="preserve"> </w:t>
      </w:r>
    </w:p>
    <w:tbl>
      <w:tblPr>
        <w:tblW w:w="2926" w:type="dxa"/>
        <w:jc w:val="left"/>
        <w:tblInd w:w="0" w:type="dxa"/>
        <w:tblLayout w:type="fixed"/>
        <w:tblCellMar>
          <w:top w:w="28" w:type="dxa"/>
          <w:left w:w="28" w:type="dxa"/>
          <w:bottom w:w="28" w:type="dxa"/>
          <w:right w:w="28" w:type="dxa"/>
        </w:tblCellMar>
      </w:tblPr>
      <w:tblGrid>
        <w:gridCol w:w="526"/>
        <w:gridCol w:w="2199"/>
        <w:gridCol w:w="201"/>
      </w:tblGrid>
      <w:tr>
        <w:trPr/>
        <w:tc>
          <w:tcPr>
            <w:tcW w:w="526" w:type="dxa"/>
            <w:tcBorders/>
            <w:vAlign w:val="center"/>
          </w:tcPr>
          <w:p>
            <w:pPr>
              <w:pStyle w:val="TableContents"/>
              <w:bidi w:val="0"/>
              <w:spacing w:before="0" w:after="283"/>
              <w:jc w:val="left"/>
              <w:rPr/>
            </w:pPr>
            <w:r>
              <w:rPr/>
              <w:t> </w:t>
            </w:r>
          </w:p>
        </w:tc>
        <w:tc>
          <w:tcPr>
            <w:tcW w:w="219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0"/>
              <w:jc w:val="left"/>
              <w:rPr/>
            </w:pPr>
            <w:r>
              <w:rPr>
                <w:color w:val="000000"/>
              </w:rPr>
              <w:t>By:</w:t>
            </w:r>
            <w:r>
              <w:rPr/>
              <w:t xml:space="preserve"> </w:t>
            </w:r>
          </w:p>
        </w:tc>
        <w:tc>
          <w:tcPr>
            <w:tcW w:w="2199"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Annette L. Burns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tcMar>
              <w:top w:w="0" w:type="dxa"/>
              <w:left w:w="0" w:type="dxa"/>
              <w:bottom w:w="0" w:type="dxa"/>
              <w:right w:w="0" w:type="dxa"/>
            </w:tcMar>
            <w:vAlign w:val="center"/>
          </w:tcPr>
          <w:p>
            <w:pPr>
              <w:pStyle w:val="TableContents"/>
              <w:bidi w:val="0"/>
              <w:spacing w:before="0" w:after="0"/>
              <w:jc w:val="left"/>
              <w:rPr/>
            </w:pPr>
            <w:r>
              <w:rPr>
                <w:color w:val="000000"/>
              </w:rPr>
              <w:t>Annette L. Burns</w:t>
            </w:r>
            <w:r>
              <w:rPr/>
              <w:t xml:space="preserve">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Chief Financial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2" w:name="ef20075500_ex32-1.htm"/>
      <w:bookmarkStart w:id="33" w:name="ksef20075500_ex321"/>
      <w:bookmarkStart w:id="34" w:name="ef20075500_ex32-1.htm"/>
      <w:bookmarkStart w:id="35" w:name="ksef20075500_ex321"/>
      <w:bookmarkEnd w:id="34"/>
      <w:bookmarkEnd w:id="35"/>
      <w:r>
        <w:br w:type="page"/>
      </w:r>
    </w:p>
    <w:p>
      <w:pPr>
        <w:pStyle w:val="TextBody"/>
        <w:bidi w:val="0"/>
        <w:spacing w:before="0" w:after="0"/>
        <w:jc w:val="center"/>
        <w:rPr>
          <w:sz w:val="20"/>
        </w:rPr>
      </w:pPr>
      <w:r>
        <w:rPr>
          <w:color w:val="000000"/>
          <w:sz w:val="20"/>
        </w:rPr>
        <w:t>EXHIBIT 32.1</w:t>
      </w:r>
      <w:r>
        <w:rPr>
          <w:sz w:val="20"/>
        </w:rPr>
        <w:t xml:space="preserve"> </w:t>
      </w:r>
    </w:p>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Written Statement of the Chief Executive Officer Pursuant to Section 906 of the SARBANES-OXLEY ACT OF 2002</w:t>
      </w:r>
      <w:r>
        <w:rPr>
          <w:sz w:val="20"/>
        </w:rPr>
        <w:t xml:space="preserve"> </w:t>
      </w:r>
    </w:p>
    <w:p>
      <w:pPr>
        <w:pStyle w:val="TextBody"/>
        <w:bidi w:val="0"/>
        <w:spacing w:before="0" w:after="0"/>
        <w:jc w:val="both"/>
        <w:rPr>
          <w:sz w:val="20"/>
        </w:rPr>
      </w:pPr>
      <w:r>
        <w:rPr>
          <w:color w:val="000000"/>
          <w:sz w:val="20"/>
        </w:rPr>
        <w:t>The undersigned, the Chief Executive Officer of NBT Bancorp Inc. (the “Company”), hereby certifies that to his knowledge on the date hereof:</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0" w:right="0" w:hanging="360"/>
        <w:jc w:val="both"/>
        <w:rPr>
          <w:sz w:val="20"/>
        </w:rPr>
      </w:pPr>
      <w:r>
        <w:rPr>
          <w:color w:val="000000"/>
          <w:sz w:val="20"/>
        </w:rPr>
        <w:t>the Form 10-Q of the Company for the Quarterly Period Ended June 30, 2026, filed on the date hereof with the Securities and Exchange Commission (the “Report”), fully complies with the requirements of Section 13(a) or 15(d) of the Securities Exchange Act of 1934; and</w:t>
      </w:r>
      <w:r>
        <w:rPr>
          <w:sz w:val="20"/>
        </w:rPr>
        <w:t xml:space="preserve">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28600" cy="146685"/>
                <wp:effectExtent l="0" t="0" r="0" b="0"/>
                <wp:wrapSquare wrapText="right"/>
                <wp:docPr id="66" name="Frame6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(a)</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(a)</w:t>
                      </w:r>
                      <w:r>
                        <w:rPr>
                          <w:sz w:val="20"/>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hanging="360"/>
        <w:jc w:val="both"/>
        <w:rPr>
          <w:sz w:val="20"/>
        </w:rPr>
      </w:pPr>
      <w:r>
        <w:rPr>
          <w:color w:val="000000"/>
          <w:sz w:val="20"/>
        </w:rPr>
        <w:t>the information contained in the Report fairly presents, in all material respects, the financial condition and results of operations of the Company.</w:t>
      </w:r>
      <w:r>
        <w:rPr>
          <w:sz w:val="20"/>
        </w:rPr>
        <w:t xml:space="preserve">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28600" cy="146685"/>
                <wp:effectExtent l="0" t="0" r="0" b="0"/>
                <wp:wrapSquare wrapText="right"/>
                <wp:docPr id="67" name="Frame6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(b)</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(b)</w:t>
                      </w:r>
                      <w:r>
                        <w:rPr>
                          <w:sz w:val="20"/>
                        </w:rPr>
                        <w:t xml:space="preserve"> </w:t>
                      </w:r>
                    </w:p>
                  </w:txbxContent>
                </v:textbox>
                <w10:wrap type="square" side="right"/>
              </v:rect>
            </w:pict>
          </mc:Fallback>
        </mc:AlternateContent>
      </w:r>
    </w:p>
    <w:p>
      <w:pPr>
        <w:pStyle w:val="TextBody"/>
        <w:bidi w:val="0"/>
        <w:spacing w:before="0" w:after="0"/>
        <w:jc w:val="both"/>
        <w:rPr/>
      </w:pPr>
      <w:r>
        <w:rPr>
          <w:color w:val="000000"/>
        </w:rPr>
        <w:t> </w:t>
      </w:r>
      <w:r>
        <w:rPr/>
        <w:t xml:space="preserve"> </w:t>
      </w:r>
    </w:p>
    <w:tbl>
      <w:tblPr>
        <w:tblW w:w="2783" w:type="dxa"/>
        <w:jc w:val="left"/>
        <w:tblInd w:w="0" w:type="dxa"/>
        <w:tblLayout w:type="fixed"/>
        <w:tblCellMar>
          <w:top w:w="28" w:type="dxa"/>
          <w:left w:w="28" w:type="dxa"/>
          <w:bottom w:w="28" w:type="dxa"/>
          <w:right w:w="28" w:type="dxa"/>
        </w:tblCellMar>
      </w:tblPr>
      <w:tblGrid>
        <w:gridCol w:w="161"/>
        <w:gridCol w:w="2431"/>
        <w:gridCol w:w="191"/>
      </w:tblGrid>
      <w:tr>
        <w:trPr/>
        <w:tc>
          <w:tcPr>
            <w:tcW w:w="161"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rPr>
              <w:t>/s/ Scott A. Kingsley</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Scott A. Kingsley</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Chief Executive Officer</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August 7, 2026</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NBT Bancorp Inc. and will be retained by NBT Bancorp Inc. and furnished to the Securities and Exchange Commission or its staff upon request.</w:t>
      </w:r>
      <w:r>
        <w:rPr>
          <w:sz w:val="20"/>
        </w:rPr>
        <w:t xml:space="preserve"> </w:t>
      </w:r>
    </w:p>
    <w:p>
      <w:pPr>
        <w:pStyle w:val="TextBody"/>
        <w:bidi w:val="0"/>
        <w:spacing w:before="0" w:after="0"/>
        <w:jc w:val="left"/>
        <w:rPr/>
      </w:pPr>
      <w:r>
        <w:rPr/>
        <w:t xml:space="preserve">  </w:t>
      </w:r>
    </w:p>
    <w:p>
      <w:pPr>
        <w:pStyle w:val="TextBody"/>
        <w:bidi w:val="0"/>
        <w:spacing w:before="0" w:after="0"/>
        <w:jc w:val="left"/>
        <w:rPr/>
      </w:pPr>
      <w:r>
        <w:rPr>
          <w:color w:val="000000"/>
        </w:rPr>
        <w:t> </w:t>
      </w: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6" w:name="ef20075500_ex32-2.htm"/>
      <w:bookmarkStart w:id="37" w:name="ksef20075500_ex322"/>
      <w:bookmarkStart w:id="38" w:name="ef20075500_ex32-2.htm"/>
      <w:bookmarkStart w:id="39" w:name="ksef20075500_ex322"/>
      <w:bookmarkEnd w:id="38"/>
      <w:bookmarkEnd w:id="39"/>
      <w:r>
        <w:br w:type="page"/>
      </w:r>
    </w:p>
    <w:p>
      <w:pPr>
        <w:pStyle w:val="TextBody"/>
        <w:bidi w:val="0"/>
        <w:spacing w:before="0" w:after="0"/>
        <w:ind w:left="0" w:right="0" w:hanging="180"/>
        <w:jc w:val="center"/>
        <w:rPr>
          <w:sz w:val="20"/>
        </w:rPr>
      </w:pPr>
      <w:r>
        <w:rPr>
          <w:color w:val="000000"/>
          <w:sz w:val="20"/>
        </w:rPr>
        <w:t>EXHIBIT 32.2</w:t>
      </w:r>
      <w:r>
        <w:rPr>
          <w:sz w:val="20"/>
        </w:rPr>
        <w:t xml:space="preserve"> </w:t>
      </w:r>
    </w:p>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Written Statement of the Chief Financial Officer Pursuant to Section 906 of the SARBANES-OXLEY ACT OF 2002</w:t>
      </w:r>
      <w:r>
        <w:rPr>
          <w:sz w:val="20"/>
        </w:rPr>
        <w:t xml:space="preserve"> </w:t>
      </w:r>
    </w:p>
    <w:p>
      <w:pPr>
        <w:pStyle w:val="TextBody"/>
        <w:bidi w:val="0"/>
        <w:spacing w:before="0" w:after="0"/>
        <w:jc w:val="both"/>
        <w:rPr>
          <w:sz w:val="20"/>
        </w:rPr>
      </w:pPr>
      <w:r>
        <w:rPr>
          <w:color w:val="000000"/>
          <w:sz w:val="20"/>
        </w:rPr>
        <w:t>The undersigned, the Chief Financial Officer of NBT Bancorp Inc. (the “Company”), hereby certifies that to her knowledge on the date hereof:</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0" w:right="0" w:hanging="480"/>
        <w:jc w:val="both"/>
        <w:rPr/>
      </w:pPr>
      <w:r>
        <w:rPr>
          <w:color w:val="000000"/>
        </w:rPr>
        <w:t>  </w:t>
      </w:r>
      <w:r>
        <w:rPr>
          <w:color w:val="000000"/>
          <w:sz w:val="20"/>
        </w:rPr>
        <w:t>(a)   the Form 10-Q of the Company for the Quarterly Period Ended June 30, 2026, filed on the date hereof with the Securities and Exchange Commission (the “Report”), fully complies with the requirements of Section 13(a) or 15(d) of the Securities Exchange Act of 1934; and</w:t>
      </w:r>
      <w:r>
        <w:rPr>
          <w:sz w:val="20"/>
        </w:rPr>
        <w:t xml:space="preserve"> </w:t>
      </w:r>
    </w:p>
    <w:p>
      <w:pPr>
        <w:pStyle w:val="TextBody"/>
        <w:bidi w:val="0"/>
        <w:spacing w:before="0" w:after="0"/>
        <w:jc w:val="left"/>
        <w:rPr/>
      </w:pPr>
      <w:r>
        <w:rPr/>
        <w:t> </w:t>
      </w:r>
    </w:p>
    <w:p>
      <w:pPr>
        <w:pStyle w:val="TextBody"/>
        <w:bidi w:val="0"/>
        <w:spacing w:before="0" w:after="0"/>
        <w:ind w:left="0" w:right="0" w:hanging="540"/>
        <w:jc w:val="both"/>
        <w:rPr/>
      </w:pPr>
      <w:r>
        <w:rPr>
          <w:color w:val="000000"/>
        </w:rPr>
        <w:t>  </w:t>
      </w:r>
      <w:r>
        <w:rPr>
          <w:color w:val="000000"/>
          <w:sz w:val="20"/>
        </w:rPr>
        <w:t>(b)   the information contained in the Report fairly presents, in all material respects, the financial condition and results of operations of the Company.</w:t>
      </w:r>
      <w:r>
        <w:rPr>
          <w:sz w:val="20"/>
        </w:rPr>
        <w:t xml:space="preserve"> </w:t>
      </w:r>
    </w:p>
    <w:p>
      <w:pPr>
        <w:pStyle w:val="TextBody"/>
        <w:bidi w:val="0"/>
        <w:spacing w:before="0" w:after="0"/>
        <w:jc w:val="both"/>
        <w:rPr/>
      </w:pPr>
      <w:r>
        <w:rPr>
          <w:color w:val="000000"/>
        </w:rPr>
        <w:t> </w:t>
      </w:r>
      <w:r>
        <w:rPr/>
        <w:t xml:space="preserve"> </w:t>
      </w:r>
    </w:p>
    <w:tbl>
      <w:tblPr>
        <w:tblW w:w="2708" w:type="dxa"/>
        <w:jc w:val="left"/>
        <w:tblInd w:w="0" w:type="dxa"/>
        <w:tblLayout w:type="fixed"/>
        <w:tblCellMar>
          <w:top w:w="28" w:type="dxa"/>
          <w:left w:w="28" w:type="dxa"/>
          <w:bottom w:w="28" w:type="dxa"/>
          <w:right w:w="28" w:type="dxa"/>
        </w:tblCellMar>
      </w:tblPr>
      <w:tblGrid>
        <w:gridCol w:w="161"/>
        <w:gridCol w:w="2356"/>
        <w:gridCol w:w="191"/>
      </w:tblGrid>
      <w:tr>
        <w:trPr/>
        <w:tc>
          <w:tcPr>
            <w:tcW w:w="161" w:type="dxa"/>
            <w:tcBorders/>
            <w:vAlign w:val="center"/>
          </w:tcPr>
          <w:p>
            <w:pPr>
              <w:pStyle w:val="TableContents"/>
              <w:bidi w:val="0"/>
              <w:spacing w:before="0" w:after="283"/>
              <w:jc w:val="left"/>
              <w:rPr/>
            </w:pPr>
            <w:r>
              <w:rPr/>
              <w:t> </w:t>
            </w:r>
          </w:p>
        </w:tc>
        <w:tc>
          <w:tcPr>
            <w:tcW w:w="235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rPr>
              <w:t>/s/ Annette L. Burns</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0"/>
              <w:jc w:val="left"/>
              <w:rPr/>
            </w:pPr>
            <w:r>
              <w:rPr>
                <w:color w:val="000000"/>
              </w:rPr>
              <w:t>Annette L. Burns</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0"/>
              <w:jc w:val="left"/>
              <w:rPr/>
            </w:pPr>
            <w:r>
              <w:rPr>
                <w:color w:val="000000"/>
              </w:rPr>
              <w:t>Chief Financial Officer</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0"/>
              <w:jc w:val="left"/>
              <w:rPr/>
            </w:pPr>
            <w:r>
              <w:rPr>
                <w:color w:val="000000"/>
              </w:rPr>
              <w:t>August 7, 2026</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pPr>
      <w:r>
        <w:rPr>
          <w:color w:val="000000"/>
        </w:rPr>
        <w:t> </w:t>
      </w:r>
      <w:r>
        <w:rPr/>
        <w:t xml:space="preserve"> </w:t>
      </w:r>
    </w:p>
    <w:p>
      <w:pPr>
        <w:pStyle w:val="TextBody"/>
        <w:bidi w:val="0"/>
        <w:spacing w:before="0" w:after="0"/>
        <w:jc w:val="both"/>
        <w:rPr>
          <w:sz w:val="20"/>
        </w:rPr>
      </w:pPr>
      <w:r>
        <w:rPr>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NBT Bancorp Inc. and will be retained by NBT Bancorp Inc. and furnished to the Securities and Exchange Commission or its staff upon request.</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0359/000114036115030653/ex3_1.htm" TargetMode="External"/><Relationship Id="rId3" Type="http://schemas.openxmlformats.org/officeDocument/2006/relationships/hyperlink" Target="https://www.sec.gov/Archives/edgar/data/790359/000114036118025315/ex3_1.htm" TargetMode="External"/><Relationship Id="rId4" Type="http://schemas.openxmlformats.org/officeDocument/2006/relationships/hyperlink" Target="https://www.sec.gov/Archives/edgar/data/790359/000101540204005073/doc2.tx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33437</Words>
  <Characters>177295</Characters>
  <CharactersWithSpaces>220663</CharactersWithSpaces>
  <Paragraphs>21701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