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2455_8k.htm"/>
      <w:bookmarkStart w:id="1" w:name="ksef20082455_8k"/>
      <w:bookmarkStart w:id="2" w:name="ef20082455_8k.htm"/>
      <w:bookmarkStart w:id="3" w:name="ksef20082455_8k"/>
      <w:bookmarkEnd w:id="2"/>
      <w:bookmarkEnd w:id="3"/>
    </w:p>
    <w:p>
      <w:pPr>
        <w:pStyle w:val="TextBody"/>
        <w:bidi w:val="0"/>
        <w:spacing w:before="0" w:after="0"/>
        <w:jc w:val="center"/>
        <w:rPr>
          <w:rFonts w:ascii="TimesNewRoman;Times New Roman;Times;Baskerville;Georgia;serif" w:hAnsi="TimesNewRoman;Times New Roman;Times;Baskerville;Georgia;serif"/>
          <w:sz w:val="28"/>
        </w:rPr>
      </w:pPr>
      <w:r>
        <w:rPr>
          <w:rFonts w:ascii="Times New Roman" w:hAnsi="Times New Roman"/>
          <w:b/>
          <w:sz w:val="28"/>
        </w:rPr>
        <w:t>UNITED STATES</w:t>
      </w:r>
      <w:r>
        <w:rPr>
          <w:rFonts w:ascii="TimesNewRoman;Times New Roman;Times;Baskerville;Georgia;serif" w:hAnsi="TimesNewRoman;Times New Roman;Times;Baskerville;Georgia;serif"/>
          <w:sz w:val="28"/>
        </w:rPr>
        <w:t xml:space="preserve"> </w:t>
      </w:r>
    </w:p>
    <w:p>
      <w:pPr>
        <w:pStyle w:val="TextBody"/>
        <w:bidi w:val="0"/>
        <w:spacing w:before="0" w:after="0"/>
        <w:jc w:val="center"/>
        <w:rPr>
          <w:rFonts w:ascii="TimesNewRoman;Times New Roman;Times;Baskerville;Georgia;serif" w:hAnsi="TimesNewRoman;Times New Roman;Times;Baskerville;Georgia;serif"/>
          <w:sz w:val="28"/>
        </w:rPr>
      </w:pPr>
      <w:r>
        <w:rPr>
          <w:rFonts w:ascii="Times New Roman" w:hAnsi="Times New Roman"/>
          <w:b/>
          <w:sz w:val="28"/>
        </w:rPr>
        <w:t>SECURITIES AND EXCHANGE COMMISSION</w:t>
      </w:r>
      <w:r>
        <w:rPr>
          <w:rFonts w:ascii="TimesNewRoman;Times New Roman;Times;Baskerville;Georgia;serif" w:hAnsi="TimesNewRoman;Times New Roman;Times;Baskerville;Georgia;serif"/>
          <w:sz w:val="28"/>
        </w:rPr>
        <w:t xml:space="preserve"> </w:t>
      </w:r>
    </w:p>
    <w:p>
      <w:pPr>
        <w:pStyle w:val="TextBody"/>
        <w:bidi w:val="0"/>
        <w:spacing w:before="0" w:after="0"/>
        <w:jc w:val="center"/>
        <w:rPr>
          <w:rFonts w:ascii="TimesNewRoman;Times New Roman;Times;Baskerville;Georgia;serif" w:hAnsi="TimesNewRoman;Times New Roman;Times;Baskerville;Georgia;serif"/>
          <w:sz w:val="24"/>
        </w:rPr>
      </w:pPr>
      <w:r>
        <w:rPr>
          <w:rFonts w:ascii="Times New Roman" w:hAnsi="Times New Roman"/>
          <w:b/>
          <w:sz w:val="24"/>
        </w:rPr>
        <w:t>WASHINGTON, D.C. 20549</w:t>
      </w:r>
      <w:r>
        <w:rPr>
          <w:rFonts w:ascii="TimesNewRoman;Times New Roman;Times;Baskerville;Georgia;serif" w:hAnsi="TimesNewRoman;Times New Roman;Times;Baskerville;Georgia;serif"/>
          <w:sz w:val="24"/>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NewRoman;Times New Roman;Times;Baskerville;Georgia;serif" w:hAnsi="TimesNewRoman;Times New Roman;Times;Baskerville;Georgia;serif"/>
          <w:sz w:val="36"/>
        </w:rPr>
      </w:pPr>
      <w:r>
        <w:rPr>
          <w:rFonts w:ascii="Times New Roman" w:hAnsi="Times New Roman"/>
          <w:b/>
          <w:sz w:val="36"/>
        </w:rPr>
        <w:t>FORM 8-K</w:t>
      </w:r>
      <w:r>
        <w:rPr>
          <w:rFonts w:ascii="TimesNewRoman;Times New Roman;Times;Baskerville;Georgia;serif" w:hAnsi="TimesNewRoman;Times New Roman;Times;Baskerville;Georgia;serif"/>
          <w:sz w:val="36"/>
        </w:rPr>
        <w:t xml:space="preserve"> </w:t>
      </w:r>
    </w:p>
    <w:p>
      <w:pPr>
        <w:pStyle w:val="TextBody"/>
        <w:bidi w:val="0"/>
        <w:spacing w:before="0" w:after="0"/>
        <w:jc w:val="center"/>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 New Roman" w:hAnsi="Times New Roman"/>
          <w:b/>
          <w:sz w:val="20"/>
        </w:rPr>
        <w:t>CURRENT REPORT</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 New Roman" w:hAnsi="Times New Roman"/>
          <w:sz w:val="20"/>
        </w:rPr>
        <w:t>Pursuant to Section 13 or 15(d) of the Securities Exchange Act of 1934</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 New Roman" w:hAnsi="Times New Roman"/>
          <w:sz w:val="20"/>
        </w:rPr>
        <w:t>Date of Report (Date of earliest event reported): September 21, 2026</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NewRoman;Times New Roman;Times;Baskerville;Georgia;serif" w:hAnsi="TimesNewRoman;Times New Roman;Times;Baskerville;Georgia;serif"/>
          <w:sz w:val="48"/>
        </w:rPr>
      </w:pPr>
      <w:r>
        <w:rPr>
          <w:rFonts w:ascii="Times New Roman" w:hAnsi="Times New Roman"/>
          <w:b/>
          <w:sz w:val="48"/>
        </w:rPr>
        <w:t>NBT BANCORP INC.</w:t>
      </w:r>
      <w:r>
        <w:rPr>
          <w:rFonts w:ascii="TimesNewRoman;Times New Roman;Times;Baskerville;Georgia;serif" w:hAnsi="TimesNewRoman;Times New Roman;Times;Baskerville;Georgia;serif"/>
          <w:sz w:val="48"/>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 New Roman" w:hAnsi="Times New Roman"/>
          <w:sz w:val="20"/>
        </w:rPr>
        <w:t>(Exact name of registrant as specified in its charter)</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tbl>
      <w:tblPr>
        <w:tblW w:w="10205" w:type="dxa"/>
        <w:jc w:val="left"/>
        <w:tblInd w:w="0" w:type="dxa"/>
        <w:tblLayout w:type="fixed"/>
        <w:tblCellMar>
          <w:top w:w="28" w:type="dxa"/>
          <w:left w:w="28" w:type="dxa"/>
          <w:bottom w:w="28" w:type="dxa"/>
          <w:right w:w="28" w:type="dxa"/>
        </w:tblCellMar>
      </w:tblPr>
      <w:tblGrid>
        <w:gridCol w:w="4876"/>
        <w:gridCol w:w="2309"/>
        <w:gridCol w:w="3020"/>
      </w:tblGrid>
      <w:tr>
        <w:trPr/>
        <w:tc>
          <w:tcPr>
            <w:tcW w:w="4876" w:type="dxa"/>
            <w:tcBorders/>
            <w:vAlign w:val="center"/>
          </w:tcPr>
          <w:p>
            <w:pPr>
              <w:pStyle w:val="TableContents"/>
              <w:bidi w:val="0"/>
              <w:spacing w:before="0" w:after="283"/>
              <w:jc w:val="left"/>
              <w:rPr/>
            </w:pPr>
            <w:r>
              <w:rPr/>
              <w:t> </w:t>
            </w:r>
          </w:p>
        </w:tc>
        <w:tc>
          <w:tcPr>
            <w:tcW w:w="2309"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r>
      <w:tr>
        <w:trPr/>
        <w:tc>
          <w:tcPr>
            <w:tcW w:w="4876" w:type="dxa"/>
            <w:tcBorders/>
            <w:tcMar>
              <w:top w:w="0" w:type="dxa"/>
              <w:left w:w="0" w:type="dxa"/>
              <w:bottom w:w="0" w:type="dxa"/>
              <w:right w:w="0" w:type="dxa"/>
            </w:tcMar>
            <w:vAlign w:val="center"/>
          </w:tcPr>
          <w:p>
            <w:pPr>
              <w:pStyle w:val="TableContents"/>
              <w:bidi w:val="0"/>
              <w:spacing w:before="0" w:after="0"/>
              <w:jc w:val="center"/>
              <w:rPr/>
            </w:pPr>
            <w:r>
              <w:rPr/>
              <w:t> </w:t>
            </w:r>
            <w:r>
              <w:rPr>
                <w:rFonts w:ascii="Times New Roman" w:hAnsi="Times New Roman"/>
                <w:b/>
                <w:sz w:val="20"/>
              </w:rPr>
              <w:t>Delaware</w:t>
            </w:r>
            <w:r>
              <w:rPr/>
              <w:t xml:space="preserve"> </w:t>
            </w:r>
          </w:p>
          <w:p>
            <w:pPr>
              <w:pStyle w:val="TableContents"/>
              <w:bidi w:val="0"/>
              <w:spacing w:before="0" w:after="0"/>
              <w:jc w:val="center"/>
              <w:rPr/>
            </w:pPr>
            <w:r>
              <w:rPr>
                <w:rFonts w:ascii="Times New Roman" w:hAnsi="Times New Roman"/>
                <w:sz w:val="20"/>
              </w:rPr>
              <w:t>(State or other jurisdiction of incorporation or organization)</w:t>
            </w:r>
            <w:r>
              <w:rPr/>
              <w:t xml:space="preserve"> </w:t>
            </w:r>
          </w:p>
        </w:tc>
        <w:tc>
          <w:tcPr>
            <w:tcW w:w="2309" w:type="dxa"/>
            <w:tcBorders/>
            <w:tcMar>
              <w:top w:w="0" w:type="dxa"/>
              <w:left w:w="0" w:type="dxa"/>
              <w:bottom w:w="0" w:type="dxa"/>
              <w:right w:w="0" w:type="dxa"/>
            </w:tcMar>
            <w:vAlign w:val="center"/>
          </w:tcPr>
          <w:p>
            <w:pPr>
              <w:pStyle w:val="TableContents"/>
              <w:bidi w:val="0"/>
              <w:spacing w:before="0" w:after="0"/>
              <w:jc w:val="center"/>
              <w:rPr/>
            </w:pPr>
            <w:r>
              <w:rPr>
                <w:rFonts w:ascii="Times New Roman" w:hAnsi="Times New Roman"/>
                <w:b/>
                <w:sz w:val="20"/>
              </w:rPr>
              <w:t>000-14703</w:t>
            </w:r>
            <w:r>
              <w:rPr/>
              <w:t xml:space="preserve"> </w:t>
            </w:r>
          </w:p>
          <w:p>
            <w:pPr>
              <w:pStyle w:val="TableContents"/>
              <w:bidi w:val="0"/>
              <w:spacing w:before="0" w:after="0"/>
              <w:jc w:val="center"/>
              <w:rPr/>
            </w:pPr>
            <w:r>
              <w:rPr>
                <w:rFonts w:ascii="Times New Roman" w:hAnsi="Times New Roman"/>
                <w:sz w:val="20"/>
              </w:rPr>
              <w:t>(Commission File Number)</w:t>
            </w:r>
            <w:r>
              <w:rPr/>
              <w:t xml:space="preserve"> </w:t>
            </w:r>
          </w:p>
        </w:tc>
        <w:tc>
          <w:tcPr>
            <w:tcW w:w="3020" w:type="dxa"/>
            <w:tcBorders/>
            <w:tcMar>
              <w:top w:w="0" w:type="dxa"/>
              <w:left w:w="0" w:type="dxa"/>
              <w:bottom w:w="0" w:type="dxa"/>
              <w:right w:w="0" w:type="dxa"/>
            </w:tcMar>
            <w:vAlign w:val="center"/>
          </w:tcPr>
          <w:p>
            <w:pPr>
              <w:pStyle w:val="TableContents"/>
              <w:bidi w:val="0"/>
              <w:spacing w:before="0" w:after="0"/>
              <w:jc w:val="center"/>
              <w:rPr/>
            </w:pPr>
            <w:r>
              <w:rPr>
                <w:rFonts w:ascii="Times New Roman" w:hAnsi="Times New Roman"/>
                <w:b/>
                <w:sz w:val="20"/>
              </w:rPr>
              <w:t>16-1268674</w:t>
            </w:r>
            <w:r>
              <w:rPr/>
              <w:t xml:space="preserve"> </w:t>
            </w:r>
          </w:p>
          <w:p>
            <w:pPr>
              <w:pStyle w:val="TableContents"/>
              <w:bidi w:val="0"/>
              <w:spacing w:before="0" w:after="0"/>
              <w:jc w:val="center"/>
              <w:rPr/>
            </w:pPr>
            <w:r>
              <w:rPr>
                <w:rFonts w:ascii="Times New Roman" w:hAnsi="Times New Roman"/>
                <w:sz w:val="20"/>
              </w:rPr>
              <w:t>(I.R.S. Employer Identification No.)</w:t>
            </w:r>
            <w:r>
              <w:rPr/>
              <w:t xml:space="preserve"> </w:t>
            </w:r>
          </w:p>
        </w:tc>
      </w:tr>
    </w:tbl>
    <w:p>
      <w:pPr>
        <w:pStyle w:val="TextBody"/>
        <w:bidi w:val="0"/>
        <w:spacing w:before="0" w:after="0"/>
        <w:jc w:val="center"/>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 New Roman" w:hAnsi="Times New Roman"/>
          <w:b/>
          <w:sz w:val="20"/>
        </w:rPr>
        <w:t>52 South Broad Street, Norwich, New York 13815</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 New Roman" w:hAnsi="Times New Roman"/>
          <w:sz w:val="20"/>
        </w:rPr>
        <w:t>(Address of principal executive offices) (Zip Code)</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 New Roman" w:hAnsi="Times New Roman"/>
          <w:sz w:val="20"/>
        </w:rPr>
        <w:t xml:space="preserve">Registrant’s telephone number, including area code: </w:t>
      </w:r>
      <w:r>
        <w:rPr>
          <w:rFonts w:ascii="Times New Roman" w:hAnsi="Times New Roman"/>
          <w:b/>
          <w:sz w:val="20"/>
        </w:rPr>
        <w:t>(607) 337-2265</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 New Roman" w:hAnsi="Times New Roman"/>
          <w:b/>
          <w:sz w:val="20"/>
        </w:rPr>
        <w:t>Not Applicable</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 New Roman" w:hAnsi="Times New Roman"/>
          <w:sz w:val="20"/>
        </w:rPr>
        <w:t>(Former name or former address, if changed since last report)</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 New Roman" w:hAnsi="Times New Roman"/>
          <w:sz w:val="20"/>
        </w:rPr>
        <w:t>Check the appropriate box below if the Form 8-K filing is intended to simultaneously satisfy the filing obligation of the registrant under any of the following provisions: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 New Roman" w:hAnsi="Times New Roman"/>
          <w:sz w:val="20"/>
        </w:rPr>
        <w:t>Written communications pursuant to Rule 425 under the Securities Act (17 CFR 230.425)</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286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 New Roman" w:hAnsi="Times New Roman"/>
          <w:sz w:val="20"/>
        </w:rPr>
        <w:t>Soliciting material pursuant to Rule 14a-12 under the Exchange Act (17 CFR 240.14a-12)</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286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 New Roman" w:hAnsi="Times New Roman"/>
          <w:sz w:val="20"/>
        </w:rPr>
        <w:t>Pre-commencement communications pursuant to Rule 14d-2(b) under the Exchange Act (17 CFR 240.14d-2(b))</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 New Roman" w:hAnsi="Times New Roman"/>
          <w:sz w:val="20"/>
        </w:rPr>
        <w:t>Pre-commencement communications pursuant to Rule 13e-4(c) under the Exchange Act (17 CFR 240.13e-4(c))</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 New Roman" w:hAnsi="Times New Roman"/>
          <w:sz w:val="20"/>
        </w:rPr>
        <w:t>Securities registered pursuant to Section 12(b) of the Act:</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9798" w:type="dxa"/>
        <w:jc w:val="left"/>
        <w:tblInd w:w="0" w:type="dxa"/>
        <w:tblLayout w:type="fixed"/>
        <w:tblCellMar>
          <w:top w:w="28" w:type="dxa"/>
          <w:left w:w="28" w:type="dxa"/>
          <w:bottom w:w="28" w:type="dxa"/>
          <w:right w:w="28" w:type="dxa"/>
        </w:tblCellMar>
      </w:tblPr>
      <w:tblGrid>
        <w:gridCol w:w="4171"/>
        <w:gridCol w:w="1711"/>
        <w:gridCol w:w="3916"/>
      </w:tblGrid>
      <w:tr>
        <w:trPr/>
        <w:tc>
          <w:tcPr>
            <w:tcW w:w="4171"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left"/>
              <w:rPr/>
            </w:pPr>
            <w:r>
              <w:rPr/>
              <w:t> </w:t>
            </w:r>
          </w:p>
        </w:tc>
        <w:tc>
          <w:tcPr>
            <w:tcW w:w="3916" w:type="dxa"/>
            <w:tcBorders/>
            <w:vAlign w:val="center"/>
          </w:tcPr>
          <w:p>
            <w:pPr>
              <w:pStyle w:val="TableContents"/>
              <w:bidi w:val="0"/>
              <w:spacing w:before="0" w:after="283"/>
              <w:jc w:val="left"/>
              <w:rPr/>
            </w:pPr>
            <w:r>
              <w:rPr/>
              <w:t> </w:t>
            </w:r>
          </w:p>
        </w:tc>
      </w:tr>
      <w:tr>
        <w:trPr/>
        <w:tc>
          <w:tcPr>
            <w:tcW w:w="4171" w:type="dxa"/>
            <w:tcBorders/>
            <w:tcMar>
              <w:top w:w="0" w:type="dxa"/>
              <w:left w:w="0" w:type="dxa"/>
              <w:bottom w:w="0" w:type="dxa"/>
              <w:right w:w="0" w:type="dxa"/>
            </w:tcMar>
            <w:vAlign w:val="center"/>
          </w:tcPr>
          <w:p>
            <w:pPr>
              <w:pStyle w:val="TableContents"/>
              <w:bidi w:val="0"/>
              <w:spacing w:before="0" w:after="283"/>
              <w:jc w:val="center"/>
              <w:rPr/>
            </w:pPr>
            <w:r>
              <w:rPr>
                <w:u w:val="single"/>
              </w:rPr>
              <w:t>Title of class</w:t>
            </w:r>
            <w:r>
              <w:rPr/>
              <w:t xml:space="preserve"> </w:t>
            </w:r>
          </w:p>
        </w:tc>
        <w:tc>
          <w:tcPr>
            <w:tcW w:w="1711" w:type="dxa"/>
            <w:tcBorders/>
            <w:tcMar>
              <w:top w:w="0" w:type="dxa"/>
              <w:left w:w="0" w:type="dxa"/>
              <w:bottom w:w="0" w:type="dxa"/>
              <w:right w:w="0" w:type="dxa"/>
            </w:tcMar>
            <w:vAlign w:val="center"/>
          </w:tcPr>
          <w:p>
            <w:pPr>
              <w:pStyle w:val="TableContents"/>
              <w:bidi w:val="0"/>
              <w:spacing w:before="0" w:after="283"/>
              <w:jc w:val="center"/>
              <w:rPr/>
            </w:pPr>
            <w:r>
              <w:rPr>
                <w:u w:val="single"/>
              </w:rPr>
              <w:t>Trading Symbol</w:t>
            </w:r>
            <w:r>
              <w:rPr/>
              <w:t xml:space="preserve"> </w:t>
            </w:r>
          </w:p>
        </w:tc>
        <w:tc>
          <w:tcPr>
            <w:tcW w:w="3916" w:type="dxa"/>
            <w:tcBorders/>
            <w:tcMar>
              <w:top w:w="0" w:type="dxa"/>
              <w:left w:w="0" w:type="dxa"/>
              <w:bottom w:w="0" w:type="dxa"/>
              <w:right w:w="0" w:type="dxa"/>
            </w:tcMar>
            <w:vAlign w:val="center"/>
          </w:tcPr>
          <w:p>
            <w:pPr>
              <w:pStyle w:val="TableContents"/>
              <w:bidi w:val="0"/>
              <w:spacing w:before="0" w:after="283"/>
              <w:jc w:val="center"/>
              <w:rPr/>
            </w:pPr>
            <w:r>
              <w:rPr>
                <w:u w:val="single"/>
              </w:rPr>
              <w:t>Name of exchange on which registered</w:t>
            </w:r>
            <w:r>
              <w:rPr/>
              <w:t xml:space="preserve"> </w:t>
            </w:r>
          </w:p>
        </w:tc>
      </w:tr>
      <w:tr>
        <w:trPr/>
        <w:tc>
          <w:tcPr>
            <w:tcW w:w="4171" w:type="dxa"/>
            <w:tcBorders/>
            <w:tcMar>
              <w:top w:w="0" w:type="dxa"/>
              <w:left w:w="0" w:type="dxa"/>
              <w:bottom w:w="0" w:type="dxa"/>
              <w:right w:w="0" w:type="dxa"/>
            </w:tcMar>
            <w:vAlign w:val="center"/>
          </w:tcPr>
          <w:p>
            <w:pPr>
              <w:pStyle w:val="TableContents"/>
              <w:bidi w:val="0"/>
              <w:spacing w:before="0" w:after="283"/>
              <w:jc w:val="center"/>
              <w:rPr/>
            </w:pPr>
            <w:r>
              <w:rPr/>
              <w:t xml:space="preserve">Common Stock, par value $0.01 per share </w:t>
            </w:r>
          </w:p>
        </w:tc>
        <w:tc>
          <w:tcPr>
            <w:tcW w:w="1711" w:type="dxa"/>
            <w:tcBorders/>
            <w:tcMar>
              <w:top w:w="0" w:type="dxa"/>
              <w:left w:w="0" w:type="dxa"/>
              <w:bottom w:w="0" w:type="dxa"/>
              <w:right w:w="0" w:type="dxa"/>
            </w:tcMar>
            <w:vAlign w:val="center"/>
          </w:tcPr>
          <w:p>
            <w:pPr>
              <w:pStyle w:val="TableContents"/>
              <w:bidi w:val="0"/>
              <w:spacing w:before="0" w:after="283"/>
              <w:jc w:val="center"/>
              <w:rPr/>
            </w:pPr>
            <w:r>
              <w:rPr/>
              <w:t xml:space="preserve">NBTB </w:t>
            </w:r>
          </w:p>
        </w:tc>
        <w:tc>
          <w:tcPr>
            <w:tcW w:w="3916" w:type="dxa"/>
            <w:tcBorders/>
            <w:tcMar>
              <w:top w:w="0" w:type="dxa"/>
              <w:left w:w="0" w:type="dxa"/>
              <w:bottom w:w="0" w:type="dxa"/>
              <w:right w:w="0" w:type="dxa"/>
            </w:tcMar>
            <w:vAlign w:val="center"/>
          </w:tcPr>
          <w:p>
            <w:pPr>
              <w:pStyle w:val="TableContents"/>
              <w:bidi w:val="0"/>
              <w:spacing w:before="0" w:after="283"/>
              <w:jc w:val="center"/>
              <w:rPr/>
            </w:pPr>
            <w:r>
              <w:rPr/>
              <w:t xml:space="preserve">The NASDAQ Stock Market LLC </w:t>
            </w:r>
          </w:p>
        </w:tc>
      </w:tr>
    </w:tbl>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NewRoman;Times New Roman;Times;Baskerville;Georgia;serif" w:hAnsi="TimesNewRoman;Times New Roman;Times;Baskerville;Georgia;serif"/>
          <w:sz w:val="20"/>
        </w:rPr>
      </w:pPr>
      <w:r>
        <w:rPr>
          <w:rFonts w:ascii="Times New Roman" w:hAnsi="Times New Roman"/>
          <w:sz w:val="20"/>
        </w:rPr>
        <w:t xml:space="preserve">Emerging growth company </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NewRoman;Times New Roman;Times;Baskerville;Georgia;serif" w:hAnsi="TimesNewRoman;Times New Roman;Times;Baskerville;Georgia;serif"/>
          <w:sz w:val="20"/>
        </w:rPr>
        <w: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0" w:after="0"/>
        <w:ind w:left="0" w:right="0" w:hanging="1080"/>
        <w:jc w:val="both"/>
        <w:rPr>
          <w:rFonts w:ascii="TimesNewRoman;Times New Roman;Times;Baskerville;Georgia;serif" w:hAnsi="TimesNewRoman;Times New Roman;Times;Baskerville;Georgia;serif"/>
          <w:sz w:val="20"/>
        </w:rPr>
      </w:pPr>
      <w:r>
        <w:rPr>
          <w:rFonts w:ascii="Times New Roman" w:hAnsi="Times New Roman"/>
          <w:b/>
          <w:sz w:val="20"/>
        </w:rPr>
        <w:t>Departure of Directors or Certain Officers; Election of Directors; Appointment of Certain Officers; Compensatory Arrangements of Certain Officers.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6858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extBody"/>
                              <w:bidi w:val="0"/>
                              <w:spacing w:before="0" w:after="283"/>
                              <w:jc w:val="left"/>
                              <w:rPr/>
                            </w:pPr>
                            <w:r>
                              <w:rPr>
                                <w:rFonts w:ascii="Times New Roman" w:hAnsi="Times New Roman"/>
                                <w:b/>
                                <w:sz w:val="20"/>
                              </w:rPr>
                              <w:t>Item 5.02</w:t>
                            </w:r>
                            <w:r>
                              <w:rPr/>
                              <w:t xml:space="preserve"> </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sz w:val="20"/>
                        </w:rPr>
                        <w:t>Item 5.02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 New Roman" w:hAnsi="Times New Roman"/>
          <w:sz w:val="20"/>
        </w:rPr>
        <w:t>On September 21, 2026, the Board of Directors (the “Board”) of NBT Bancorp Inc. (“NBT”) increased the size of the Board to thirteen directors and appointed Kimberly A. Boynton to fill the newly created vacancy, effective October 1, 2026.</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 New Roman" w:hAnsi="Times New Roman"/>
          <w:sz w:val="20"/>
        </w:rPr>
        <w:t>Ms. Boynton, age 57, is a licensed real estate agent with Cushman &amp; Wakefield | Pyramid Brokerage Company specializing in office and industrial real estate in upstate New York. Ms. Boynton previously served as President and Chief Executive Officer of Crouse Health, as well as Vice President of the Crouse Health Foundation, from January 2014 until March 2023. She began her career at Crouse in 1998 and served as Chief Financial Officer from 2003 until her appointment as Chief Executive Officer. Prior to joining Crouse Health, she worked in public accounting with Coopers &amp; Lybrand in Syracuse, New York. Ms. Boynton has extensive experience serving on boards for business, nonprofit and community organizations, including serving as a director for a smaller bank holding company in Central New York. She has served on the Board of Trustees of SCR, Inc., a national defense contractor, since 2016 and is currently Vice Chairperson. She has also served on the Board of Directors of Byrne Dairy, Inc. since October 2023, AAA of Western and Central New York since 2005, AAA National since May 2024, NYSTEC (a nonprofit technology consulting organization) since 2024, The Century Club of Syracuse since January 2024, and Christian Brothers Academy since 2010.</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 New Roman" w:hAnsi="Times New Roman"/>
          <w:sz w:val="20"/>
        </w:rPr>
        <w:t>Ms. Boynton’s strong background in executive leadership in healthcare, financial management, board governance and commercial real estate will bring valuable perspective to the Board on the Central New York business community, the regional economy and the needs of the local communities NBT serves.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Board has determined that Ms. Boynton meets the standards of independence set forth by Nasdaq. Ms. Boynton is expected to serve on the Audit Committee, the Compensation and Benefits Committee and the Risk Management Committee of the Board.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 New Roman" w:hAnsi="Times New Roman"/>
          <w:sz w:val="20"/>
        </w:rPr>
        <w:t>There are no transactions between Ms. Boynton or any member of her immediate family and NBT that would be reportable as a related party transaction under Item 404(a) of Regulation S-K. Ms. Boynton was not selected as a director because of any arrangement or understanding between Ms. Boynton or NBT and any other person and was not provided any compensation in connection with her appointment as a director.</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Ms. Boynton will be entitled to standard compensation as a director of NBT as disclosed in the proxy statement for NBT’s annual meeting of stockholders. She will receive a prorated annual grant of restricted stock units and prorated annual retainers for Board and applicable committee service. </w:t>
      </w:r>
    </w:p>
    <w:p>
      <w:pPr>
        <w:pStyle w:val="TextBody"/>
        <w:bidi w:val="0"/>
        <w:spacing w:before="0" w:after="0"/>
        <w:jc w:val="left"/>
        <w:rPr/>
      </w:pPr>
      <w:r>
        <w:rPr/>
        <w:t xml:space="preserve">  </w:t>
      </w:r>
    </w:p>
    <w:p>
      <w:pPr>
        <w:pStyle w:val="TextBody"/>
        <w:bidi w:val="0"/>
        <w:spacing w:before="0" w:after="0"/>
        <w:ind w:left="0" w:right="0" w:hanging="1080"/>
        <w:jc w:val="left"/>
        <w:rPr>
          <w:rFonts w:ascii="TimesNewRoman;Times New Roman;Times;Baskerville;Georgia;serif" w:hAnsi="TimesNewRoman;Times New Roman;Times;Baskerville;Georgia;serif"/>
          <w:sz w:val="20"/>
        </w:rPr>
      </w:pPr>
      <w:r>
        <w:rPr>
          <w:rFonts w:ascii="Times New Roman" w:hAnsi="Times New Roman"/>
          <w:b/>
          <w:sz w:val="20"/>
        </w:rPr>
        <w:t>Financial Statements and Exhibits.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6858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extBody"/>
                              <w:bidi w:val="0"/>
                              <w:spacing w:before="0" w:after="283"/>
                              <w:jc w:val="left"/>
                              <w:rPr/>
                            </w:pPr>
                            <w:r>
                              <w:rPr>
                                <w:rFonts w:ascii="Times New Roman" w:hAnsi="Times New Roman"/>
                                <w:b/>
                                <w:sz w:val="20"/>
                              </w:rPr>
                              <w:t>Item 9.01</w:t>
                            </w:r>
                            <w:r>
                              <w:rPr/>
                              <w:t xml:space="preserve"> </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sz w:val="20"/>
                        </w:rPr>
                        <w:t>Item 9.01</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Exhibits.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(d)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 </w:t>
                      </w:r>
                    </w:p>
                  </w:txbxContent>
                </v:textbox>
                <w10:wrap type="square" side="right"/>
              </v:rect>
            </w:pict>
          </mc:Fallback>
        </mc:AlternateContent>
      </w:r>
    </w:p>
    <w:p>
      <w:pPr>
        <w:pStyle w:val="TextBody"/>
        <w:bidi w:val="0"/>
        <w:spacing w:before="0" w:after="0"/>
        <w:jc w:val="both"/>
        <w:rPr/>
      </w:pPr>
      <w:r>
        <w:rPr/>
        <w:t xml:space="preserve">  </w:t>
      </w:r>
    </w:p>
    <w:tbl>
      <w:tblPr>
        <w:tblW w:w="9298" w:type="dxa"/>
        <w:jc w:val="left"/>
        <w:tblInd w:w="0" w:type="dxa"/>
        <w:tblLayout w:type="fixed"/>
        <w:tblCellMar>
          <w:top w:w="28" w:type="dxa"/>
          <w:left w:w="28" w:type="dxa"/>
          <w:bottom w:w="28" w:type="dxa"/>
          <w:right w:w="28" w:type="dxa"/>
        </w:tblCellMar>
      </w:tblPr>
      <w:tblGrid>
        <w:gridCol w:w="1351"/>
        <w:gridCol w:w="146"/>
        <w:gridCol w:w="7801"/>
      </w:tblGrid>
      <w:tr>
        <w:trPr/>
        <w:tc>
          <w:tcPr>
            <w:tcW w:w="1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01" w:type="dxa"/>
            <w:tcBorders/>
            <w:vAlign w:val="center"/>
          </w:tcPr>
          <w:p>
            <w:pPr>
              <w:pStyle w:val="TableContents"/>
              <w:bidi w:val="0"/>
              <w:spacing w:before="0" w:after="283"/>
              <w:jc w:val="left"/>
              <w:rPr/>
            </w:pPr>
            <w:r>
              <w:rPr/>
              <w:t> </w:t>
            </w:r>
          </w:p>
        </w:tc>
      </w:tr>
      <w:tr>
        <w:trPr/>
        <w:tc>
          <w:tcPr>
            <w:tcW w:w="1351"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rPr>
              <w:t>Exhibit No.</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rPr>
              <w:t>Description</w:t>
            </w:r>
            <w:r>
              <w:rPr/>
              <w:t xml:space="preserve"> </w:t>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tcMar>
              <w:top w:w="0" w:type="dxa"/>
              <w:left w:w="0" w:type="dxa"/>
              <w:bottom w:w="0" w:type="dxa"/>
              <w:right w:w="0" w:type="dxa"/>
            </w:tcMar>
            <w:vAlign w:val="center"/>
          </w:tcPr>
          <w:p>
            <w:pPr>
              <w:pStyle w:val="TableContents"/>
              <w:bidi w:val="0"/>
              <w:spacing w:before="0" w:after="0"/>
              <w:jc w:val="left"/>
              <w:rPr/>
            </w:pPr>
            <w:hyperlink w:anchor="null">
              <w:r>
                <w:rPr>
                  <w:rStyle w:val="InternetLink"/>
                </w:rPr>
                <w:t>99.1</w:t>
              </w:r>
            </w:hyperlink>
            <w:r>
              <w:rPr/>
              <w:t xml:space="preserve"> </w:t>
            </w:r>
          </w:p>
        </w:tc>
        <w:tc>
          <w:tcPr>
            <w:tcW w:w="146" w:type="dxa"/>
            <w:tcBorders/>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0"/>
              <w:jc w:val="left"/>
              <w:rPr/>
            </w:pPr>
            <w:r>
              <w:rPr/>
              <w:t xml:space="preserve">Press release of NBT Bancorp Inc. dated September 21, 2026 </w:t>
            </w:r>
          </w:p>
        </w:tc>
      </w:tr>
      <w:tr>
        <w:trPr/>
        <w:tc>
          <w:tcPr>
            <w:tcW w:w="1351" w:type="dxa"/>
            <w:tcBorders/>
            <w:tcMar>
              <w:top w:w="0" w:type="dxa"/>
              <w:left w:w="0" w:type="dxa"/>
              <w:bottom w:w="0" w:type="dxa"/>
              <w:right w:w="0" w:type="dxa"/>
            </w:tcMar>
            <w:vAlign w:val="center"/>
          </w:tcPr>
          <w:p>
            <w:pPr>
              <w:pStyle w:val="TableContents"/>
              <w:bidi w:val="0"/>
              <w:spacing w:before="0" w:after="0"/>
              <w:jc w:val="left"/>
              <w:rPr/>
            </w:pPr>
            <w:r>
              <w:rPr/>
              <w:t xml:space="preserve">104 </w:t>
            </w:r>
          </w:p>
        </w:tc>
        <w:tc>
          <w:tcPr>
            <w:tcW w:w="146" w:type="dxa"/>
            <w:tcBorders/>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0"/>
              <w:jc w:val="left"/>
              <w:rPr/>
            </w:pPr>
            <w:r>
              <w:rPr/>
              <w:t xml:space="preserve">Cover Page Interactive Data File (embedded within the Inline XBRL document) </w:t>
            </w:r>
          </w:p>
        </w:tc>
      </w:tr>
    </w:tbl>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0" w:after="0"/>
        <w:jc w:val="left"/>
        <w:rPr>
          <w:rFonts w:ascii="TimesNewRoman;Times New Roman;Times;Baskerville;Georgia;serif" w:hAnsi="TimesNewRoman;Times New Roman;Times;Baskerville;Georgia;serif"/>
          <w:sz w:val="20"/>
        </w:rPr>
      </w:pPr>
      <w:r>
        <w:rPr>
          <w:rFonts w:ascii="Times New Roman" w:hAnsi="Times New Roman"/>
          <w:b/>
          <w:sz w:val="20"/>
        </w:rPr>
        <w:t>SIGNATURE</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8418" w:type="dxa"/>
        <w:jc w:val="left"/>
        <w:tblInd w:w="0" w:type="dxa"/>
        <w:tblLayout w:type="fixed"/>
        <w:tblCellMar>
          <w:top w:w="28" w:type="dxa"/>
          <w:left w:w="28" w:type="dxa"/>
          <w:bottom w:w="28" w:type="dxa"/>
          <w:right w:w="28" w:type="dxa"/>
        </w:tblCellMar>
      </w:tblPr>
      <w:tblGrid>
        <w:gridCol w:w="2656"/>
        <w:gridCol w:w="511"/>
        <w:gridCol w:w="5251"/>
      </w:tblGrid>
      <w:tr>
        <w:trPr/>
        <w:tc>
          <w:tcPr>
            <w:tcW w:w="265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2656" w:type="dxa"/>
            <w:tcBorders/>
            <w:vAlign w:val="center"/>
          </w:tcPr>
          <w:p>
            <w:pPr>
              <w:pStyle w:val="TableContents"/>
              <w:bidi w:val="0"/>
              <w:spacing w:before="0" w:after="283"/>
              <w:jc w:val="left"/>
              <w:rPr/>
            </w:pPr>
            <w:r>
              <w:rPr/>
              <w:t> </w:t>
            </w:r>
          </w:p>
        </w:tc>
        <w:tc>
          <w:tcPr>
            <w:tcW w:w="5762" w:type="dxa"/>
            <w:gridSpan w:val="2"/>
            <w:tcBorders/>
            <w:vAlign w:val="center"/>
          </w:tcPr>
          <w:p>
            <w:pPr>
              <w:pStyle w:val="TableContents"/>
              <w:bidi w:val="0"/>
              <w:spacing w:before="0" w:after="283"/>
              <w:ind w:left="0" w:right="0" w:firstLine="1065"/>
              <w:jc w:val="left"/>
              <w:rPr/>
            </w:pPr>
            <w:r>
              <w:rPr>
                <w:b/>
                <w:spacing w:val="0"/>
              </w:rPr>
              <w:t>NBT BANCORP INC.</w:t>
            </w:r>
            <w:r>
              <w:rPr/>
              <w:t xml:space="preserve"> </w:t>
            </w:r>
          </w:p>
        </w:tc>
      </w:tr>
      <w:tr>
        <w:trPr/>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tcMar>
              <w:top w:w="0" w:type="dxa"/>
              <w:left w:w="0" w:type="dxa"/>
              <w:bottom w:w="0" w:type="dxa"/>
              <w:right w:w="0" w:type="dxa"/>
            </w:tcMar>
            <w:vAlign w:val="center"/>
          </w:tcPr>
          <w:p>
            <w:pPr>
              <w:pStyle w:val="TableContents"/>
              <w:bidi w:val="0"/>
              <w:spacing w:before="0" w:after="0"/>
              <w:jc w:val="left"/>
              <w:rPr/>
            </w:pPr>
            <w:r>
              <w:rPr/>
              <w:t xml:space="preserve">Date: September 21, 2026 </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left"/>
              <w:rPr/>
            </w:pPr>
            <w:r>
              <w:rPr/>
              <w:t xml:space="preserve">By: </w:t>
            </w:r>
          </w:p>
        </w:tc>
        <w:tc>
          <w:tcPr>
            <w:tcW w:w="5251" w:type="dxa"/>
            <w:tcBorders/>
            <w:tcMar>
              <w:top w:w="0" w:type="dxa"/>
              <w:left w:w="0" w:type="dxa"/>
              <w:bottom w:w="0" w:type="dxa"/>
              <w:right w:w="0" w:type="dxa"/>
            </w:tcMar>
            <w:vAlign w:val="center"/>
          </w:tcPr>
          <w:p>
            <w:pPr>
              <w:pStyle w:val="TableContents"/>
              <w:bidi w:val="0"/>
              <w:spacing w:before="0" w:after="0"/>
              <w:jc w:val="left"/>
              <w:rPr/>
            </w:pPr>
            <w:r>
              <w:rPr>
                <w:u w:val="single"/>
              </w:rPr>
              <w:t>/s/ Annette L. Burns</w:t>
            </w:r>
            <w:r>
              <w:rPr/>
              <w:t xml:space="preserve"> </w:t>
            </w:r>
          </w:p>
        </w:tc>
      </w:tr>
      <w:tr>
        <w:trPr/>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51" w:type="dxa"/>
            <w:tcBorders/>
            <w:tcMar>
              <w:top w:w="0" w:type="dxa"/>
              <w:left w:w="0" w:type="dxa"/>
              <w:bottom w:w="0" w:type="dxa"/>
              <w:right w:w="0" w:type="dxa"/>
            </w:tcMar>
            <w:vAlign w:val="center"/>
          </w:tcPr>
          <w:p>
            <w:pPr>
              <w:pStyle w:val="TableContents"/>
              <w:bidi w:val="0"/>
              <w:spacing w:before="0" w:after="0"/>
              <w:jc w:val="left"/>
              <w:rPr/>
            </w:pPr>
            <w:r>
              <w:rPr/>
              <w:t xml:space="preserve">Annette L. Burns </w:t>
            </w:r>
          </w:p>
        </w:tc>
      </w:tr>
      <w:tr>
        <w:trPr/>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51" w:type="dxa"/>
            <w:tcBorders/>
            <w:tcMar>
              <w:top w:w="0" w:type="dxa"/>
              <w:left w:w="0" w:type="dxa"/>
              <w:bottom w:w="0" w:type="dxa"/>
              <w:right w:w="0" w:type="dxa"/>
            </w:tcMar>
            <w:vAlign w:val="center"/>
          </w:tcPr>
          <w:p>
            <w:pPr>
              <w:pStyle w:val="TableContents"/>
              <w:bidi w:val="0"/>
              <w:spacing w:before="0" w:after="0"/>
              <w:jc w:val="left"/>
              <w:rPr/>
            </w:pPr>
            <w:r>
              <w:rPr/>
              <w:t xml:space="preserve">Executive Vice President and Chief Financial Officer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4" w:name="ef20082455_ex99-1.htm"/>
      <w:bookmarkStart w:id="5" w:name="ksef20082455_ex991"/>
      <w:bookmarkStart w:id="6" w:name="ef20082455_ex99-1.htm"/>
      <w:bookmarkStart w:id="7" w:name="ksef20082455_ex991"/>
      <w:bookmarkEnd w:id="6"/>
      <w:bookmarkEnd w:id="7"/>
      <w:r>
        <w:br w:type="page"/>
      </w:r>
    </w:p>
    <w:p>
      <w:pPr>
        <w:pStyle w:val="TextBody"/>
        <w:bidi w:val="0"/>
        <w:spacing w:before="0" w:after="0"/>
        <w:jc w:val="right"/>
        <w:rPr>
          <w:b/>
        </w:rPr>
      </w:pPr>
      <w:r>
        <w:rPr>
          <w:b/>
        </w:rPr>
        <w:t>Exhibit 99.1</w:t>
      </w:r>
    </w:p>
    <w:p>
      <w:pPr>
        <w:pStyle w:val="TextBody"/>
        <w:bidi w:val="0"/>
        <w:spacing w:before="0" w:after="0"/>
        <w:jc w:val="left"/>
        <w:rPr/>
      </w:pPr>
      <w:r>
        <w:rPr/>
        <w:t> </w:t>
      </w:r>
    </w:p>
    <w:p>
      <w:pPr>
        <w:pStyle w:val="TextBody"/>
        <w:bidi w:val="0"/>
        <w:spacing w:before="0" w:after="0"/>
        <w:jc w:val="left"/>
        <w:rPr>
          <w:b/>
        </w:rPr>
      </w:pPr>
      <w:r>
        <w:rPr>
          <w:b/>
        </w:rPr>
        <w:t>FOR IMMEDIATE RELEASE</w:t>
      </w:r>
    </w:p>
    <w:p>
      <w:pPr>
        <w:pStyle w:val="TextBody"/>
        <w:bidi w:val="0"/>
        <w:spacing w:before="0" w:after="0"/>
        <w:jc w:val="left"/>
        <w:rPr/>
      </w:pPr>
      <w:r>
        <w:rPr>
          <w:b/>
          <w:spacing w:val="0"/>
        </w:rPr>
        <w:t>ATTENTION: FINANCIAL AND BUSINESS EDITORS</w:t>
      </w: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rFonts w:ascii="Times New Roman" w:hAnsi="Times New Roman"/>
          <w:b/>
          <w:sz w:val="20"/>
        </w:rPr>
        <w:t>CONTACT:</w:t>
      </w:r>
      <w:r>
        <w:rPr/>
        <w:t xml:space="preserve"> </w:t>
      </w:r>
    </w:p>
    <w:p>
      <w:pPr>
        <w:pStyle w:val="TextBody"/>
        <w:bidi w:val="0"/>
        <w:spacing w:before="0" w:after="0"/>
        <w:jc w:val="left"/>
        <w:rPr/>
      </w:pPr>
      <w:r>
        <w:rPr>
          <w:rFonts w:ascii="Times New Roman" w:hAnsi="Times New Roman"/>
          <w:sz w:val="20"/>
        </w:rPr>
        <w:t>Florence Doller</w:t>
      </w:r>
      <w:r>
        <w:rPr/>
        <w:t xml:space="preserve"> </w:t>
      </w:r>
    </w:p>
    <w:p>
      <w:pPr>
        <w:pStyle w:val="TextBody"/>
        <w:bidi w:val="0"/>
        <w:spacing w:before="0" w:after="0"/>
        <w:jc w:val="left"/>
        <w:rPr/>
      </w:pPr>
      <w:r>
        <w:rPr>
          <w:rFonts w:ascii="Times New Roman" w:hAnsi="Times New Roman"/>
          <w:sz w:val="20"/>
        </w:rPr>
        <w:t>SVP &amp; Director of Corporate Communications</w:t>
      </w:r>
      <w:r>
        <w:rPr/>
        <w:t xml:space="preserve"> </w:t>
      </w:r>
    </w:p>
    <w:p>
      <w:pPr>
        <w:pStyle w:val="TextBody"/>
        <w:bidi w:val="0"/>
        <w:spacing w:before="0" w:after="0"/>
        <w:jc w:val="left"/>
        <w:rPr/>
      </w:pPr>
      <w:r>
        <w:rPr>
          <w:rFonts w:ascii="Times New Roman" w:hAnsi="Times New Roman"/>
          <w:sz w:val="20"/>
        </w:rPr>
        <w:t xml:space="preserve">607.337.6118 | </w:t>
      </w:r>
      <w:r>
        <w:rPr>
          <w:rFonts w:ascii="Times New Roman" w:hAnsi="Times New Roman"/>
          <w:sz w:val="20"/>
          <w:u w:val="single"/>
        </w:rPr>
        <w:t>fdoller@nbtbank.com</w:t>
      </w:r>
      <w:r>
        <w:rPr/>
        <w:t xml:space="preserve"> </w:t>
      </w:r>
    </w:p>
    <w:p>
      <w:pPr>
        <w:pStyle w:val="TextBody"/>
        <w:bidi w:val="0"/>
        <w:spacing w:before="0" w:after="0"/>
        <w:jc w:val="left"/>
        <w:rPr/>
      </w:pPr>
      <w:r>
        <w:rPr/>
        <w:t xml:space="preserve">  </w:t>
      </w:r>
    </w:p>
    <w:p>
      <w:pPr>
        <w:pStyle w:val="TextBody"/>
        <w:bidi w:val="0"/>
        <w:spacing w:before="0" w:after="0"/>
        <w:jc w:val="center"/>
        <w:rPr/>
      </w:pPr>
      <w:r>
        <w:rPr>
          <w:rFonts w:ascii="Times New Roman" w:hAnsi="Times New Roman"/>
          <w:b/>
          <w:sz w:val="20"/>
        </w:rPr>
        <w:t>KIMBERLY A. BOYNTON NAMED TO NBT BOARD OF DIRECTORS</w:t>
      </w:r>
      <w:r>
        <w:rPr/>
        <w:t xml:space="preserve"> </w:t>
      </w:r>
    </w:p>
    <w:p>
      <w:pPr>
        <w:pStyle w:val="TextBody"/>
        <w:bidi w:val="0"/>
        <w:spacing w:before="0" w:after="0"/>
        <w:jc w:val="left"/>
        <w:rPr/>
      </w:pPr>
      <w:r>
        <w:rPr>
          <w:rFonts w:ascii="Times New Roman" w:hAnsi="Times New Roman"/>
          <w:sz w:val="20"/>
        </w:rPr>
        <w:t>NORWICH, NY (September 21, 2026) – NBT Bancorp Inc. ("NBT" or the "Company") (NASDAQ: NBTB) announced today that Kimberly A. Boynton will join the Boards of Directors of NBT Bancorp Inc. and NBT Bank, N.A. on October 1, 2026. Boynton is the former President and Chief Executive Officer of Crouse Health and is currently a licensed real estate salesperson with Cushman &amp; Wakefield | Pyramid Brokerage Company, where she specializes in office and industrial real estate throughout the Syracuse market.</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Times New Roman" w:hAnsi="Times New Roman"/>
          <w:sz w:val="20"/>
        </w:rPr>
        <w:t>"We are pleased to welcome Kimberly to the NBT Board of Directors," said NBT Board Chair Martin A. Dietrich. "Kimberly's career spans executive leadership in healthcare, financial management, board governance and commercial real estate. That breadth of experience, combined with her deep understanding of the Central New York business community and regional economy, will bring valuable perspective to our Board and the work we do on behalf of our shareholders, customers and communities."</w:t>
      </w:r>
      <w:r>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Boynton spent nearly 25 years with Crouse Health, serving as President and Chief Executive Officer from January 2014 until March 2023 and as Vice President of the Crouse Health Foundation. Prior to her appointment as Chief Executive Officer, she served as Chief Financial Officer, helping to lead the organization's financial strategy and operational management. Throughout her tenure at Crouse Health, Boynton led strategic growth initiatives, physician practice acquisitions and major capital projects while overseeing a broad range of operational functions across the organization.</w:t>
      </w:r>
    </w:p>
    <w:p>
      <w:pPr>
        <w:pStyle w:val="TextBody"/>
        <w:bidi w:val="0"/>
        <w:spacing w:before="0" w:after="0"/>
        <w:jc w:val="left"/>
        <w:rPr/>
      </w:pPr>
      <w:r>
        <w:rPr/>
        <w:t xml:space="preserve">  </w:t>
      </w:r>
    </w:p>
    <w:p>
      <w:pPr>
        <w:pStyle w:val="TextBody"/>
        <w:bidi w:val="0"/>
        <w:spacing w:before="0" w:after="0"/>
        <w:jc w:val="left"/>
        <w:rPr/>
      </w:pPr>
      <w:r>
        <w:rPr>
          <w:rFonts w:ascii="Times New Roman" w:hAnsi="Times New Roman"/>
          <w:sz w:val="20"/>
        </w:rPr>
        <w:t>Prior to joining Crouse Health, Boynton worked in public accounting with Coopers &amp; Lybrand, where she developed expertise in financial reporting, auditing and client advisory services.</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Times New Roman" w:hAnsi="Times New Roman"/>
          <w:sz w:val="20"/>
        </w:rPr>
        <w:t>Boynton has extensive experience serving on boards. She is currently Vice Chairperson of the Board of Trustees of SRC, Inc. and serves on the boards of AAA Western and Central New York, Byrne Dairy, Inc. and NYSTEC. She has been actively involved in numerous civic and nonprofit organizations throughout Central New York. Boynton earned a Bachelor of Business Administration in Accounting from Niagara University and an MBA from Syracuse University's Martin J. Whitman School of Management.</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Times New Roman" w:hAnsi="Times New Roman"/>
          <w:b/>
          <w:sz w:val="20"/>
        </w:rPr>
        <w:t>About NBT Bancorp Inc. and NBT Bank, N.A.</w:t>
      </w:r>
      <w:r>
        <w:rPr/>
        <w:t xml:space="preserve"> </w:t>
      </w:r>
    </w:p>
    <w:p>
      <w:pPr>
        <w:pStyle w:val="TextBody"/>
        <w:bidi w:val="0"/>
        <w:spacing w:before="0" w:after="0"/>
        <w:jc w:val="left"/>
        <w:rPr/>
      </w:pPr>
      <w:r>
        <w:rPr>
          <w:rFonts w:ascii="Times New Roman" w:hAnsi="Times New Roman"/>
          <w:sz w:val="20"/>
        </w:rPr>
        <w:t xml:space="preserve">NBT Bancorp Inc. is a financial holding company headquartered in Norwich, NY, with total assets of $16.21 billion at June 30, 2026. The Company primarily operates through NBT Bank, N.A., a full-service community bank, and through two financial services companies. NBT Bank, N.A. has 174 banking locations in New York, Pennsylvania, Vermont, Massachusetts, New Hampshire, Maine and Connecticut. EPIC Retirement Plan Services, based in Rochester, NY, is a national benefits administration firm. NBT Insurance Agency, LLC, based in Norwich, NY, is a full-service regional insurance agency. More information about NBT and its divisions is available online at: </w:t>
      </w:r>
      <w:r>
        <w:rPr>
          <w:rFonts w:ascii="Times New Roman" w:hAnsi="Times New Roman"/>
          <w:sz w:val="20"/>
          <w:u w:val="single"/>
        </w:rPr>
        <w:t>www.nbtbancorp.com</w:t>
      </w:r>
      <w:r>
        <w:rPr>
          <w:rFonts w:ascii="Times New Roman" w:hAnsi="Times New Roman"/>
          <w:sz w:val="20"/>
        </w:rPr>
        <w:t xml:space="preserve">, </w:t>
      </w:r>
      <w:r>
        <w:rPr>
          <w:rFonts w:ascii="Times New Roman" w:hAnsi="Times New Roman"/>
          <w:sz w:val="20"/>
          <w:u w:val="single"/>
        </w:rPr>
        <w:t>www.nbtbank.com</w:t>
      </w:r>
      <w:r>
        <w:rPr>
          <w:rFonts w:ascii="Times New Roman" w:hAnsi="Times New Roman"/>
          <w:sz w:val="20"/>
        </w:rPr>
        <w:t xml:space="preserve">, </w:t>
      </w:r>
      <w:r>
        <w:rPr>
          <w:rFonts w:ascii="Times New Roman" w:hAnsi="Times New Roman"/>
          <w:sz w:val="20"/>
          <w:u w:val="single"/>
        </w:rPr>
        <w:t>www.epicrps.com</w:t>
      </w:r>
      <w:r>
        <w:rPr>
          <w:rFonts w:ascii="Times New Roman" w:hAnsi="Times New Roman"/>
          <w:sz w:val="20"/>
        </w:rPr>
        <w:t xml:space="preserve"> and </w:t>
      </w:r>
      <w:r>
        <w:rPr>
          <w:rFonts w:ascii="Times New Roman" w:hAnsi="Times New Roman"/>
          <w:sz w:val="20"/>
          <w:u w:val="single"/>
        </w:rPr>
        <w:t>www.nbtbank.com/insurance</w:t>
      </w:r>
      <w:r>
        <w:rPr>
          <w:rFonts w:ascii="Times New Roman" w:hAnsi="Times New Roman"/>
          <w:sz w:val="20"/>
        </w:rPr>
        <w:t>.</w:t>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1328</Words>
  <Characters>7379</Characters>
  <CharactersWithSpaces>8808</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