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2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 (d) OF THE SECURITIES EXCHANGE ACT OF 1934.</w:t>
      </w:r>
    </w:p>
    <w:p>
      <w:pPr>
        <w:spacing w:after="0" w:line="180"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right="1559" w:firstLine="8"/>
        <w:spacing w:after="0" w:line="475"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15 (d) OF THE SECURITIES EXCHANGE ACT OF 1934. For the transition period from ______________________ to _____________________.</w:t>
      </w:r>
    </w:p>
    <w:p>
      <w:pPr>
        <w:ind w:left="4500"/>
        <w:spacing w:after="0"/>
        <w:rPr>
          <w:sz w:val="20"/>
          <w:szCs w:val="20"/>
          <w:color w:val="auto"/>
        </w:rPr>
      </w:pPr>
      <w:r>
        <w:rPr>
          <w:rFonts w:ascii="Times New Roman" w:cs="Times New Roman" w:eastAsia="Times New Roman" w:hAnsi="Times New Roman"/>
          <w:sz w:val="18"/>
          <w:szCs w:val="18"/>
          <w:b w:val="1"/>
          <w:bCs w:val="1"/>
          <w:color w:val="auto"/>
        </w:rPr>
        <w:t>Commission File No. 0-14703</w:t>
      </w:r>
    </w:p>
    <w:p>
      <w:pPr>
        <w:spacing w:after="0" w:line="229" w:lineRule="exact"/>
        <w:rPr>
          <w:sz w:val="24"/>
          <w:szCs w:val="24"/>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NBT Bancorp Inc. 401(k) and Employee Stock Ownership Plan.</w:t>
      </w:r>
    </w:p>
    <w:p>
      <w:pPr>
        <w:spacing w:after="0" w:line="229" w:lineRule="exact"/>
        <w:rPr>
          <w:sz w:val="24"/>
          <w:szCs w:val="24"/>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94" w:lineRule="exact"/>
        <w:rPr>
          <w:rFonts w:ascii="Times New Roman" w:cs="Times New Roman" w:eastAsia="Times New Roman" w:hAnsi="Times New Roman"/>
          <w:sz w:val="18"/>
          <w:szCs w:val="18"/>
          <w:color w:val="auto"/>
        </w:rPr>
      </w:pPr>
    </w:p>
    <w:p>
      <w:pPr>
        <w:ind w:left="2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NBT Bancorp Inc., 52 South Broad Street, Norwich, New York 13815.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OWNERSHIP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 and Supplemental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(With Report of Independent Registered Public Accounting Firm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OWNERSHIP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3"/>
        </w:trPr>
        <w:tc>
          <w:tcPr>
            <w:tcW w:w="9380" w:type="dxa"/>
            <w:vAlign w:val="bottom"/>
            <w:gridSpan w:val="8"/>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8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r>
      <w:tr>
        <w:trPr>
          <w:trHeight w:val="243"/>
        </w:trPr>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40" w:type="dxa"/>
            <w:vAlign w:val="bottom"/>
            <w:tcBorders>
              <w:top w:val="single" w:sz="8" w:color="0000EE"/>
            </w:tcBorders>
          </w:tcPr>
          <w:p>
            <w:pPr>
              <w:spacing w:after="0"/>
              <w:rPr>
                <w:sz w:val="21"/>
                <w:szCs w:val="21"/>
                <w:color w:val="auto"/>
              </w:rPr>
            </w:pPr>
          </w:p>
        </w:tc>
        <w:tc>
          <w:tcPr>
            <w:tcW w:w="206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spacing w:after="0"/>
              <w:rPr>
                <w:sz w:val="21"/>
                <w:szCs w:val="21"/>
                <w:color w:val="auto"/>
              </w:rPr>
            </w:pPr>
          </w:p>
        </w:tc>
        <w:tc>
          <w:tcPr>
            <w:tcW w:w="2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1860" w:type="dxa"/>
            <w:vAlign w:val="bottom"/>
            <w:tcBorders>
              <w:top w:val="single" w:sz="8" w:color="CCEEFF"/>
            </w:tcBorders>
          </w:tcPr>
          <w:p>
            <w:pPr>
              <w:spacing w:after="0"/>
              <w:rPr>
                <w:sz w:val="21"/>
                <w:szCs w:val="21"/>
                <w:color w:val="auto"/>
              </w:rPr>
            </w:pPr>
          </w:p>
        </w:tc>
      </w:tr>
      <w:tr>
        <w:trPr>
          <w:trHeight w:val="223"/>
        </w:trPr>
        <w:tc>
          <w:tcPr>
            <w:tcW w:w="9380" w:type="dxa"/>
            <w:vAlign w:val="bottom"/>
            <w:gridSpan w:val="8"/>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EE"/>
              </w:rPr>
              <w:t>Statements of Net Assets Available for Plan Benefits at December 31, 2025 and 2024</w:t>
            </w:r>
          </w:p>
        </w:tc>
        <w:tc>
          <w:tcPr>
            <w:tcW w:w="18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w:t>
            </w:r>
          </w:p>
        </w:tc>
      </w:tr>
      <w:tr>
        <w:trPr>
          <w:trHeight w:val="243"/>
        </w:trPr>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40" w:type="dxa"/>
            <w:vAlign w:val="bottom"/>
            <w:tcBorders>
              <w:top w:val="single" w:sz="8" w:color="0000EE"/>
            </w:tcBorders>
          </w:tcPr>
          <w:p>
            <w:pPr>
              <w:spacing w:after="0"/>
              <w:rPr>
                <w:sz w:val="21"/>
                <w:szCs w:val="21"/>
                <w:color w:val="auto"/>
              </w:rPr>
            </w:pPr>
          </w:p>
        </w:tc>
        <w:tc>
          <w:tcPr>
            <w:tcW w:w="206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440" w:type="dxa"/>
            <w:vAlign w:val="bottom"/>
            <w:tcBorders>
              <w:top w:val="single" w:sz="8" w:color="0000EE"/>
            </w:tcBorders>
          </w:tcPr>
          <w:p>
            <w:pPr>
              <w:spacing w:after="0"/>
              <w:rPr>
                <w:sz w:val="21"/>
                <w:szCs w:val="21"/>
                <w:color w:val="auto"/>
              </w:rPr>
            </w:pPr>
          </w:p>
        </w:tc>
        <w:tc>
          <w:tcPr>
            <w:tcW w:w="2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1860" w:type="dxa"/>
            <w:vAlign w:val="bottom"/>
            <w:tcBorders>
              <w:top w:val="single" w:sz="8" w:color="CCEEFF"/>
            </w:tcBorders>
          </w:tcPr>
          <w:p>
            <w:pPr>
              <w:spacing w:after="0"/>
              <w:rPr>
                <w:sz w:val="21"/>
                <w:szCs w:val="21"/>
                <w:color w:val="auto"/>
              </w:rPr>
            </w:pPr>
          </w:p>
        </w:tc>
      </w:tr>
      <w:tr>
        <w:trPr>
          <w:trHeight w:val="223"/>
        </w:trPr>
        <w:tc>
          <w:tcPr>
            <w:tcW w:w="9380" w:type="dxa"/>
            <w:vAlign w:val="bottom"/>
            <w:gridSpan w:val="8"/>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EE"/>
              </w:rPr>
              <w:t>Statements of Changes in Net Assets Available for Plan Benefits for the years ended December 31, 2025 and 2024</w:t>
            </w:r>
          </w:p>
        </w:tc>
        <w:tc>
          <w:tcPr>
            <w:tcW w:w="18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w:t>
            </w:r>
          </w:p>
        </w:tc>
      </w:tr>
      <w:tr>
        <w:trPr>
          <w:trHeight w:val="243"/>
        </w:trPr>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40" w:type="dxa"/>
            <w:vAlign w:val="bottom"/>
            <w:tcBorders>
              <w:top w:val="single" w:sz="8" w:color="0000EE"/>
            </w:tcBorders>
          </w:tcPr>
          <w:p>
            <w:pPr>
              <w:spacing w:after="0"/>
              <w:rPr>
                <w:sz w:val="21"/>
                <w:szCs w:val="21"/>
                <w:color w:val="auto"/>
              </w:rPr>
            </w:pPr>
          </w:p>
        </w:tc>
        <w:tc>
          <w:tcPr>
            <w:tcW w:w="206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440" w:type="dxa"/>
            <w:vAlign w:val="bottom"/>
            <w:tcBorders>
              <w:top w:val="single" w:sz="8" w:color="0000EE"/>
            </w:tcBorders>
          </w:tcPr>
          <w:p>
            <w:pPr>
              <w:spacing w:after="0"/>
              <w:rPr>
                <w:sz w:val="21"/>
                <w:szCs w:val="21"/>
                <w:color w:val="auto"/>
              </w:rPr>
            </w:pPr>
          </w:p>
        </w:tc>
        <w:tc>
          <w:tcPr>
            <w:tcW w:w="2100" w:type="dxa"/>
            <w:vAlign w:val="bottom"/>
            <w:tcBorders>
              <w:top w:val="single" w:sz="8" w:color="0000EE"/>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1860" w:type="dxa"/>
            <w:vAlign w:val="bottom"/>
            <w:tcBorders>
              <w:top w:val="single" w:sz="8" w:color="CCEEFF"/>
            </w:tcBorders>
          </w:tcPr>
          <w:p>
            <w:pPr>
              <w:spacing w:after="0"/>
              <w:rPr>
                <w:sz w:val="21"/>
                <w:szCs w:val="21"/>
                <w:color w:val="auto"/>
              </w:rPr>
            </w:pPr>
          </w:p>
        </w:tc>
      </w:tr>
      <w:tr>
        <w:trPr>
          <w:trHeight w:val="223"/>
        </w:trPr>
        <w:tc>
          <w:tcPr>
            <w:tcW w:w="9380" w:type="dxa"/>
            <w:vAlign w:val="bottom"/>
            <w:gridSpan w:val="8"/>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8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4</w:t>
            </w:r>
          </w:p>
        </w:tc>
      </w:tr>
      <w:tr>
        <w:trPr>
          <w:trHeight w:val="243"/>
        </w:trPr>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40" w:type="dxa"/>
            <w:vAlign w:val="bottom"/>
            <w:tcBorders>
              <w:top w:val="single" w:sz="8" w:color="0000EE"/>
            </w:tcBorders>
          </w:tcPr>
          <w:p>
            <w:pPr>
              <w:spacing w:after="0"/>
              <w:rPr>
                <w:sz w:val="21"/>
                <w:szCs w:val="21"/>
                <w:color w:val="auto"/>
              </w:rPr>
            </w:pPr>
          </w:p>
        </w:tc>
        <w:tc>
          <w:tcPr>
            <w:tcW w:w="20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spacing w:after="0"/>
              <w:rPr>
                <w:sz w:val="21"/>
                <w:szCs w:val="21"/>
                <w:color w:val="auto"/>
              </w:rPr>
            </w:pPr>
          </w:p>
        </w:tc>
        <w:tc>
          <w:tcPr>
            <w:tcW w:w="2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1860" w:type="dxa"/>
            <w:vAlign w:val="bottom"/>
            <w:tcBorders>
              <w:top w:val="single" w:sz="8" w:color="CCEEFF"/>
            </w:tcBorders>
          </w:tcPr>
          <w:p>
            <w:pPr>
              <w:spacing w:after="0"/>
              <w:rPr>
                <w:sz w:val="21"/>
                <w:szCs w:val="21"/>
                <w:color w:val="auto"/>
              </w:rPr>
            </w:pPr>
          </w:p>
        </w:tc>
      </w:tr>
      <w:tr>
        <w:trPr>
          <w:trHeight w:val="243"/>
        </w:trPr>
        <w:tc>
          <w:tcPr>
            <w:tcW w:w="938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18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40" w:type="dxa"/>
            <w:vAlign w:val="bottom"/>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18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r>
      <w:tr>
        <w:trPr>
          <w:trHeight w:val="432"/>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Schedules required by Form 5500 that are not applicable have not been included</w:t>
            </w:r>
          </w:p>
        </w:tc>
        <w:tc>
          <w:tcPr>
            <w:tcW w:w="1860" w:type="dxa"/>
            <w:vAlign w:val="bottom"/>
          </w:tcPr>
          <w:p>
            <w:pPr>
              <w:spacing w:after="0"/>
              <w:rPr>
                <w:sz w:val="24"/>
                <w:szCs w:val="24"/>
                <w:color w:val="auto"/>
              </w:rPr>
            </w:pPr>
          </w:p>
        </w:tc>
      </w:tr>
      <w:tr>
        <w:trPr>
          <w:trHeight w:val="358"/>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NBT Bancorp Inc. 401(k) and Employee Stock Ownership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the NBT Bancorp Inc. 401(k) and Employee Stock Ownership Plan (the Plan) as of December 31, 2025 and 2024, and the related statements of changes in net assets available for benefits for the years then ended, and the related notes and supplemental schedule (collectively referred to as the financial statements). In our opinion, the financial statements present fairly, in all material respects, the net assets available for benefits of the NBT Bancorp Inc. 401(k) and Employee Stock Ownership Plan as of December 31, 2025 and 2024, and the changes in net assets available for benefits for the years then ended,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supplemental information contained in Schedule H, Line 4i – Schedule of Assets (Held at End of Year)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Bonadio &amp; Co.,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Amherst, New York</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PLAN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2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5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funds</w:t>
            </w: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363,169,532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307,131,380</w:t>
            </w:r>
          </w:p>
        </w:tc>
      </w:tr>
      <w:tr>
        <w:trPr>
          <w:trHeight w:val="216"/>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of NBT Bancorp Inc.</w:t>
            </w:r>
          </w:p>
        </w:tc>
        <w:tc>
          <w:tcPr>
            <w:tcW w:w="5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30,074,182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35,226,305</w:t>
            </w:r>
          </w:p>
        </w:tc>
      </w:tr>
      <w:tr>
        <w:trPr>
          <w:trHeight w:val="216"/>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Stable value fund</w:t>
            </w:r>
          </w:p>
        </w:tc>
        <w:tc>
          <w:tcPr>
            <w:tcW w:w="53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17,933,465</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18,539,578</w:t>
            </w:r>
          </w:p>
        </w:tc>
      </w:tr>
      <w:tr>
        <w:trPr>
          <w:trHeight w:val="223"/>
        </w:trPr>
        <w:tc>
          <w:tcPr>
            <w:tcW w:w="3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5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31,988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86,728</w:t>
            </w:r>
          </w:p>
        </w:tc>
      </w:tr>
      <w:tr>
        <w:trPr>
          <w:trHeight w:val="229"/>
        </w:trPr>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411,209,167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360,983,991</w:t>
            </w:r>
          </w:p>
        </w:tc>
      </w:tr>
      <w:tr>
        <w:trPr>
          <w:trHeight w:val="22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5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5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3,492,310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3,450,393</w:t>
            </w:r>
          </w:p>
        </w:tc>
      </w:tr>
      <w:tr>
        <w:trPr>
          <w:trHeight w:val="216"/>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Due from broker</w:t>
            </w:r>
          </w:p>
        </w:tc>
        <w:tc>
          <w:tcPr>
            <w:tcW w:w="5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86,234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62,387</w:t>
            </w:r>
          </w:p>
        </w:tc>
      </w:tr>
      <w:tr>
        <w:trPr>
          <w:trHeight w:val="223"/>
        </w:trPr>
        <w:tc>
          <w:tcPr>
            <w:tcW w:w="3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Contributions receivable from employer</w:t>
            </w:r>
          </w:p>
        </w:tc>
        <w:tc>
          <w:tcPr>
            <w:tcW w:w="5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675,053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1,987,973</w:t>
            </w:r>
          </w:p>
        </w:tc>
      </w:tr>
      <w:tr>
        <w:trPr>
          <w:trHeight w:val="223"/>
        </w:trPr>
        <w:tc>
          <w:tcPr>
            <w:tcW w:w="35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receivables</w:t>
            </w:r>
          </w:p>
        </w:tc>
        <w:tc>
          <w:tcPr>
            <w:tcW w:w="5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4,253,597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5,500,753</w:t>
            </w:r>
          </w:p>
        </w:tc>
      </w:tr>
      <w:tr>
        <w:trPr>
          <w:trHeight w:val="223"/>
        </w:trPr>
        <w:tc>
          <w:tcPr>
            <w:tcW w:w="35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5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415,462,764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366,484,744</w:t>
            </w:r>
          </w:p>
        </w:tc>
      </w:tr>
      <w:tr>
        <w:trPr>
          <w:trHeight w:val="216"/>
        </w:trPr>
        <w:tc>
          <w:tcPr>
            <w:tcW w:w="35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3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to broker</w:t>
            </w:r>
          </w:p>
        </w:tc>
        <w:tc>
          <w:tcPr>
            <w:tcW w:w="5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92,118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41,865</w:t>
            </w:r>
          </w:p>
        </w:tc>
      </w:tr>
      <w:tr>
        <w:trPr>
          <w:trHeight w:val="223"/>
        </w:trPr>
        <w:tc>
          <w:tcPr>
            <w:tcW w:w="3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5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92,118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41,865</w:t>
            </w:r>
          </w:p>
        </w:tc>
      </w:tr>
      <w:tr>
        <w:trPr>
          <w:trHeight w:val="223"/>
        </w:trPr>
        <w:tc>
          <w:tcPr>
            <w:tcW w:w="3520" w:type="dxa"/>
            <w:vAlign w:val="bottom"/>
            <w:tcBorders>
              <w:bottom w:val="single" w:sz="8" w:color="auto"/>
            </w:tcBorders>
            <w:shd w:val="clear" w:color="auto" w:fill="CCEEFF"/>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16"/>
        </w:trPr>
        <w:tc>
          <w:tcPr>
            <w:tcW w:w="3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assets available for plan benefits</w:t>
            </w:r>
          </w:p>
        </w:tc>
        <w:tc>
          <w:tcPr>
            <w:tcW w:w="5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415,370,646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366,442,879</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6"/>
        </w:trPr>
        <w:tc>
          <w:tcPr>
            <w:tcW w:w="3520" w:type="dxa"/>
            <w:vAlign w:val="bottom"/>
          </w:tcPr>
          <w:p>
            <w:pPr>
              <w:spacing w:after="0"/>
              <w:rPr>
                <w:sz w:val="24"/>
                <w:szCs w:val="24"/>
                <w:color w:val="auto"/>
              </w:rPr>
            </w:pPr>
          </w:p>
        </w:tc>
        <w:tc>
          <w:tcPr>
            <w:tcW w:w="532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7"/>
        </w:trPr>
        <w:tc>
          <w:tcPr>
            <w:tcW w:w="3520" w:type="dxa"/>
            <w:vAlign w:val="bottom"/>
          </w:tcPr>
          <w:p>
            <w:pPr>
              <w:spacing w:after="0"/>
              <w:rPr>
                <w:sz w:val="24"/>
                <w:szCs w:val="24"/>
                <w:color w:val="auto"/>
              </w:rPr>
            </w:pPr>
          </w:p>
        </w:tc>
        <w:tc>
          <w:tcPr>
            <w:tcW w:w="5320" w:type="dxa"/>
            <w:vAlign w:val="bottom"/>
          </w:tcPr>
          <w:p>
            <w:pPr>
              <w:jc w:val="right"/>
              <w:ind w:right="3092"/>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7"/>
        </w:trPr>
        <w:tc>
          <w:tcPr>
            <w:tcW w:w="3520" w:type="dxa"/>
            <w:vAlign w:val="bottom"/>
            <w:tcBorders>
              <w:bottom w:val="single" w:sz="8" w:color="auto"/>
            </w:tcBorders>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PLAN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23,419,439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33,173,589</w:t>
            </w:r>
          </w:p>
        </w:tc>
      </w:tr>
      <w:tr>
        <w:trPr>
          <w:trHeight w:val="216"/>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Dividends</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20,873,491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12,838,626</w:t>
            </w:r>
          </w:p>
        </w:tc>
      </w:tr>
      <w:tr>
        <w:trPr>
          <w:trHeight w:val="223"/>
        </w:trPr>
        <w:tc>
          <w:tcPr>
            <w:tcW w:w="6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2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568,966</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528,817</w:t>
            </w:r>
          </w:p>
        </w:tc>
      </w:tr>
      <w:tr>
        <w:trPr>
          <w:trHeight w:val="223"/>
        </w:trPr>
        <w:tc>
          <w:tcPr>
            <w:tcW w:w="63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44,861,896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46,541,032</w:t>
            </w:r>
          </w:p>
        </w:tc>
      </w:tr>
      <w:tr>
        <w:trPr>
          <w:trHeight w:val="216"/>
        </w:trPr>
        <w:tc>
          <w:tcPr>
            <w:tcW w:w="6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282,451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260,292</w:t>
            </w:r>
          </w:p>
        </w:tc>
      </w:tr>
      <w:tr>
        <w:trPr>
          <w:trHeight w:val="216"/>
        </w:trPr>
        <w:tc>
          <w:tcPr>
            <w:tcW w:w="6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Participants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15,806,249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13,792,131</w:t>
            </w:r>
          </w:p>
        </w:tc>
      </w:tr>
      <w:tr>
        <w:trPr>
          <w:trHeight w:val="216"/>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Employer</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6,591,657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7,088,166</w:t>
            </w:r>
          </w:p>
        </w:tc>
      </w:tr>
      <w:tr>
        <w:trPr>
          <w:trHeight w:val="223"/>
        </w:trPr>
        <w:tc>
          <w:tcPr>
            <w:tcW w:w="6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Rollovers</w:t>
            </w:r>
          </w:p>
        </w:tc>
        <w:tc>
          <w:tcPr>
            <w:tcW w:w="2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15,202,083</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4,957,880</w:t>
            </w:r>
          </w:p>
        </w:tc>
      </w:tr>
      <w:tr>
        <w:trPr>
          <w:trHeight w:val="223"/>
        </w:trPr>
        <w:tc>
          <w:tcPr>
            <w:tcW w:w="63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contributions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37,599,989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25,838,177</w:t>
            </w:r>
          </w:p>
        </w:tc>
      </w:tr>
      <w:tr>
        <w:trPr>
          <w:trHeight w:val="223"/>
        </w:trPr>
        <w:tc>
          <w:tcPr>
            <w:tcW w:w="63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63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additions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82,744,336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72,639,501</w:t>
            </w:r>
          </w:p>
        </w:tc>
      </w:tr>
      <w:tr>
        <w:trPr>
          <w:trHeight w:val="216"/>
        </w:trPr>
        <w:tc>
          <w:tcPr>
            <w:tcW w:w="6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(33,787,979)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(26,959,027)</w:t>
            </w:r>
          </w:p>
        </w:tc>
      </w:tr>
      <w:tr>
        <w:trPr>
          <w:trHeight w:val="223"/>
        </w:trPr>
        <w:tc>
          <w:tcPr>
            <w:tcW w:w="6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(28,590)</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w:t>
            </w:r>
          </w:p>
        </w:tc>
      </w:tr>
      <w:tr>
        <w:trPr>
          <w:trHeight w:val="223"/>
        </w:trPr>
        <w:tc>
          <w:tcPr>
            <w:tcW w:w="63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deductions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(33,816,569)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(26,984,833)</w:t>
            </w:r>
          </w:p>
        </w:tc>
      </w:tr>
      <w:tr>
        <w:trPr>
          <w:trHeight w:val="223"/>
        </w:trPr>
        <w:tc>
          <w:tcPr>
            <w:tcW w:w="632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in net assets available for plan benefits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48,927,767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45,654,668</w:t>
            </w:r>
          </w:p>
        </w:tc>
      </w:tr>
      <w:tr>
        <w:trPr>
          <w:trHeight w:val="216"/>
        </w:trPr>
        <w:tc>
          <w:tcPr>
            <w:tcW w:w="6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w:t>
            </w: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6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366,442,879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320,788,211</w:t>
            </w:r>
          </w:p>
        </w:tc>
      </w:tr>
      <w:tr>
        <w:trPr>
          <w:trHeight w:val="223"/>
        </w:trPr>
        <w:tc>
          <w:tcPr>
            <w:tcW w:w="6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415,370,646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366,442,879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of the NBT Bancorp Inc. 401(k) and Employee Stock Ownership Plan (“the Plan”) provides only general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should refer to the Plan Agreement or Summary Plan Description for a more complete description of the Plan’s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Plan is a defined contribution plan as defined under Section 401(a) of the Internal Revenue Code (“IRC”), sponsored by NBT Bancorp Inc. (“the Sponsor”, “the Plan Administrator” or “the Company”). The Sponsor is responsible for administration of the Plan. NBT Bank, N.A, is a wholly-owned subsidiary of NBT Bancorp Inc. NBT Bank, N.A. is the trustee of the Plan (“the Trustee”) and Charles Schwab Bank is the Custodian of the Plan. EPIC Retirement Plan Services,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of NBT Financial Services, Inc.,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of the Sponsor, is the Plan’s record keeper. The assets of the Plan are held, administered and managed in accordance with the terms and conditions of the Trust Agreement, which is considered to be an integral part of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is subject to the provisions of the Employee Retirement Income Security Act of 1974, as amended (“ERISA”).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was amended to include employees of Karl W. Reynard Agency effective July 1, 2024 and employees of Paco, Inc. effective November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was amended to include employees of Evans Bancorp, Inc. effective May 2, 2025.</w:t>
      </w:r>
    </w:p>
    <w:p>
      <w:pPr>
        <w:spacing w:after="0" w:line="225"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Effective January 1, 2025, the Plan was amended to update provisions related to employees acquired in IRC §410(b)(6)(C) transactions (including eligibility as of the transaction date and crediting of predecessor employer service for eligibility and vesting purposes). The Plan was also amended to permit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Roth conversions effective January 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acquired in certain IRC §410(b)(6)(C) transactions may become eligible as of the transaction date, as provided under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employees who are age 21 or over and scheduled to complete 1,000 hours of service or have completed 1,000 hours of service are eligible to participate in the Plan. Eligible employees are required to complete 30 days of employment prior to entry into the Plan. A deemed election becomes effective as of the first day of the month the eligible employee becomes a participant and is eligible to make a deferral election to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 and Deferrals</w:t>
      </w:r>
    </w:p>
    <w:p>
      <w:pPr>
        <w:spacing w:after="0" w:line="188"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Participants may make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and post-tax contributions in whole percentages or may elect a flat dollar contribution up to Internal Revenue Service (“IRS”) limitations for any plan year. The post-tax contributions are deferrals to Roth accounts.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includes provisions for automatic elective contributions under which any employee that meets certain eligibility requirements will be automatically enrolled in the Plan and will automatically have 6% withheld from his or her compensation and contributed to the Plan. The employee will have to elect to opt out of the qualified automatic contribution election.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matching contribution is 100% of each participant’s contribution up to 1% of compensation plus 50% of the next 5% of compensation for a total matching contribution of up to 3.5% of compensation. The Company match amounted to $5,916,604 and $5,100,193 in 2025 and 2024, respectively. A discretionary amount, determined by the Sponsor’s Board of Directors, may be contributed to the Plan each year. To share in this discretionary contribution, participants must be actively employed on the last day of the year, have completed 1,000 hours of service and have contributed a minimum percentage of compensation during the year as determined annually by the Company. The amount is allocated to participants on a pro-rata basis, based on compensation. No discretionary contributions were made for 2025. During 2024, discretionary contributions of $1,422,473 were approved by the Sponsor’s board of directors and were paid during 2025. This discretionary contribution is included in contributions receivable from employer in the Statement of Net Assets Available for Plan Benefits as of December 31, 2024.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defined in the Plan document, employees participating in the Plan under the Worker Retirement Accumulation Plan (“WRAP”) design can receive an additional discretionary Company contribution equal to the interest credit on service credits earned under the WRAP design. The Company contribution for employees participating in the WRAP amounted to $675,053 in 2025, which was paid during 2026, and $565,500 in 2024, which was paid during 2025. These discretionary contributions are included in contributions receivable from employer in the Statement of Net Assets Available for Plan Benefits as of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Participants elect to have their contributions invested among the various funds available to the Plan, including NBT Bancorp Inc. common stock. Each participant’s account is credited with the Sponsor’s and participant’s contributions, plan earnings and income, expenses, gains and losses attributable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contributions and net investment income or loss thereon are 100% vested. The participants’ vesting in Safe Harbor employer matching contributions are 100% vested upon completion of two years of service. Employer discretionary contributions are vested after five years of service. Participants are considered 100% vested upon termination due to death, retirement or permanent disability.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Rollovers and Transfers from Other Qualifying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may make rollover contributions to the Plan through a distribution from a former employer’s qualified retirement plan in accordance with the IRC.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Participants may borrow from their account in amounts ranging from $1,000 to the lesser of $50,000 or 50% of the vested 401(k) account balance excluding Company contributions invested in NBT Bancorp Inc. common stock and employer contributions made subsequent to January 1, 1997. Loans, other than loans for the purchase of a primary residence, must be repaid over a period no longer than five years. Loans for the purchase of a primary residence must be repaid over a period no longer than 15 years. Interest is charged at the prime rate plus 1% as of the loan origination date. Participant loans are treated as a transfer from the participant directed accounts into the loan fund. Principal and interest payments on the loans are allocated to the loan fund and transferred into the participant directed accounts based on the participants’ current investment allocation elections.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normal or early retirement, disability, death or termination of employment, the value of a participant’s account is paid as requested by the participant. If the value of the vested balance does not exceed $7,000, then the balance will be distributed regardless if the participant requests to receive it. Early retirement is allowed upon reaching age 55 and completion of at least 5 years of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limitations prescribed by the Plan and the IRC, terminated participants may elect retirement or other termination withdrawals in either lump sum or partial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Forfeitures are applied to reduce the amount of future employer contributions otherwise required to be paid. In 2025 and 2024, forfeitures from non-vested accounts totaled $149,133 and $145,368, respectively, and forfeitures used to reduce employer contributions were $127,451 and $141,313, respectively. Forfeiture account balances totaled $66,394 and $44,712 at December 31, 2025 and 2024, respectively.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intention to do so, the Sponsor has the right to discontinue contributions or terminate the Plan at any time subject to Plan provisions and subject to the provisions of ERISA. In the event of termination of the Plan, each participant’s account would become fully vested and the net assets of the Plan would be allocated as prescribed by ERISA and its related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of operating and administering the Plan are generally paid by the Sponsor. The payment of these expenses is not mandated by the Plan and is done so at the discretion of the Sponsor. Loan fees are paid by the borrower.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participant account balances that are invested in shares of NBT Bancorp Inc. common stock, each participant is entitled to exercise voting rights attributable to the shares allocated to his or her account and is notified by the Trustee prior to the time that such rights are to be exercised.</w:t>
      </w:r>
    </w:p>
    <w:p>
      <w:pPr>
        <w:spacing w:after="0" w:line="158" w:lineRule="exact"/>
        <w:rPr>
          <w:sz w:val="20"/>
          <w:szCs w:val="20"/>
          <w:color w:val="auto"/>
        </w:rPr>
      </w:pPr>
    </w:p>
    <w:p>
      <w:pPr>
        <w:ind w:right="7200" w:firstLine="8"/>
        <w:spacing w:after="0" w:line="503" w:lineRule="auto"/>
        <w:tabs>
          <w:tab w:leader="none" w:pos="64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 in accordance with accounting principles generally accepted in the United States of America (“GAAP”). Amounts in prior year’s financial statements are reclassified, when necessary, to conform with current year’s presentation.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Plan’s investments are stated at fair value. The fair value of mutual funds and the common stock of the Sponsor are based on published market quotations. The fair value of the stable value fund is based on the calculated daily net asset values of the fund.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the price the Plan would receive to sell an asset or pay to transfer a liability in an orderly transaction with a market participant at the measurement date. In the absence of active markets for the identical assets and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Observable inputs reflect market data obtained from independent sources, while unobservable inputs reflect our market assumptions. Preference is given to observable inputs. These two types of inputs create the following fair value hierarchy and a financial instrument’s categorization within the valuation hierarchy is based upon the lowest level of input that is significant to the fair value measurement. The three levels are defined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assets or liabilities in active markets, quoted prices in markets that are not active, or inputs that are observable, either directly or indirectly, for substantially the full term of the asset or liability; and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measurement and unobservable (e.g., supported by little or no market activity).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 transactions are recorded on a trade date basis. If a trade is open at the end of the year, a receivable for securities sold but not yet settled or a payable for securities purchased but not yet settled is reflected in the Statement of Net Assets Available for Benefits. Dividends are recorded on the ex-dividend date. Interest income is earned from settlement date and recognized on the accrual basis. The net appreciation in the fair value of investments consists of the realized gains or losses on the sales of investments and the net unrealized appreciation of investments. The methods described above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Paid to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payments to participants are recorded when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 from participants are carried at the unpaid principal balance plus interest.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Withdrawals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withdrawals are recorded when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net assets available for plan benefits, disclosure of contingent assets and liabilities, and the reported amount of increases and decreases in net assets available for plan benefits.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various types of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Statements of Net Assets Available for Plan Benefits.</w:t>
      </w:r>
    </w:p>
    <w:p>
      <w:pPr>
        <w:spacing w:after="0" w:line="17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financial instruments recorded at fair value on a recurring basis by the Plan as of December 31, 2025 and 2024: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14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9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363,169,532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363,169,532</w:t>
            </w:r>
          </w:p>
        </w:tc>
        <w:tc>
          <w:tcPr>
            <w:tcW w:w="10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 NBT Bancorp Inc.</w:t>
            </w:r>
          </w:p>
        </w:tc>
        <w:tc>
          <w:tcPr>
            <w:tcW w:w="19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30,074,182</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30,074,182</w:t>
            </w:r>
          </w:p>
        </w:tc>
        <w:tc>
          <w:tcPr>
            <w:tcW w:w="106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Stable value fund</w:t>
            </w:r>
          </w:p>
        </w:tc>
        <w:tc>
          <w:tcPr>
            <w:tcW w:w="19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17,933,465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17,933,465</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9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31,988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31,988</w:t>
            </w: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1"/>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411,209,167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411,209,167</w:t>
            </w:r>
          </w:p>
        </w:tc>
        <w:tc>
          <w:tcPr>
            <w:tcW w:w="10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1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14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9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307,131,380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307,131,380</w:t>
            </w:r>
          </w:p>
        </w:tc>
        <w:tc>
          <w:tcPr>
            <w:tcW w:w="10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 NBT Bancorp Inc.</w:t>
            </w:r>
          </w:p>
        </w:tc>
        <w:tc>
          <w:tcPr>
            <w:tcW w:w="1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35,226,305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35,226,305</w:t>
            </w:r>
          </w:p>
        </w:tc>
        <w:tc>
          <w:tcPr>
            <w:tcW w:w="106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Stable value fund</w:t>
            </w:r>
          </w:p>
        </w:tc>
        <w:tc>
          <w:tcPr>
            <w:tcW w:w="19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18,539,578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18,539,578</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9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86,728</w:t>
            </w: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360,983,991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360,983,991</w:t>
            </w:r>
          </w:p>
        </w:tc>
        <w:tc>
          <w:tcPr>
            <w:tcW w:w="10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4140" w:type="dxa"/>
            <w:vAlign w:val="bottom"/>
          </w:tcPr>
          <w:p>
            <w:pPr>
              <w:spacing w:after="0"/>
              <w:rPr>
                <w:sz w:val="24"/>
                <w:szCs w:val="24"/>
                <w:color w:val="auto"/>
              </w:rPr>
            </w:pPr>
          </w:p>
        </w:tc>
        <w:tc>
          <w:tcPr>
            <w:tcW w:w="190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7</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
        </w:trPr>
        <w:tc>
          <w:tcPr>
            <w:tcW w:w="41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stable value fund consists of the Federated Capital Preservation Fund (“the Fund”), which primarily holds guaranteed investment contracts (“GICs”) and synthetic guaranteed investment contracts (“synthetic GICs”). GICs represent deposits which guarantee a stated interest rate for the term of the contracts. The crediting rate of security-backed contracts will track current market yields on a trailing basis. The rate reset allows the contract value to converge with the fair value of the underlying portfolio over time, assuming the portfolio continues to earn the current yield for a period of time equal to the current portfolio duration. The fair value of GICs is determined based on the present value of the contract's expected cash flows, discounted by current market interest rates for like duration and like quality investments. Synthetic GICs are portfolios of securities (debt securities or open end registered investment companies) owned by the Fund with wrap contracts that guarantee a fixed or variable rate for the term of the contracts.</w:t>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operates under an IRS pre-approved plan document, as administered by EPIC Retirement Plan Services. The latest IRS favorable opinion letter on the pre-approved plan document is dated June 30, 2020. Although the opinion letter is dated prior to the Plan’s amendment, the Plan Administrator and the Plan’s tax counsel believe that the Plan is designed and is currently being operated, in compliance with the applicable requirements of the IRC and, therefore, believe that the Plan is qualified and the related trust is tax-exempt.</w:t>
      </w:r>
    </w:p>
    <w:p>
      <w:pPr>
        <w:spacing w:after="0" w:line="139" w:lineRule="exact"/>
        <w:rPr>
          <w:sz w:val="20"/>
          <w:szCs w:val="20"/>
          <w:color w:val="auto"/>
        </w:rPr>
      </w:pPr>
    </w:p>
    <w:p>
      <w:pPr>
        <w:ind w:left="660" w:hanging="652"/>
        <w:spacing w:after="0" w:line="207" w:lineRule="exact"/>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Interest Transactions</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Parties-in-interest are defined under Department of Labor regulations as any fiduciary of the Plan, any party rendering service to the Plan, the Employer, and certain others. Any transactions with parties-in-interest either fall outside the scope of, or are exempt from, ERISA’s prohibited transaction rules.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Plan's record keeper, Trustee, and Custodian, as well as the Company and Plan participants, and The Bonadio Group, the auditor of the Plan’s financial statements, are each a “party-in-interest" to the Plan as defined by ERISA.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Purchases of Company stock amounted to $3,824,520 and $4,560,353 and sales amounted to $3,236,945 and $6,099,149 for the years ended December 31, 2025 and 2024, respectively. At December 31, 2025 and 2024, the number of shares of Company stock held in participants’ accounts totaled 724,330 and 737,569, respectively, with a fair value of $30,074,182 and $35,226,305,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totaling $3,492,310 and $3,450,393 at December 31, 2025 and 2024, respectively, qualify as party-in-interest transactions and are secured by balances in the respective participant accounts.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income earned by the Plan includes dividend income from shares of NBT Bancorp Inc. common stock and amounted to $1,043,188 and $1,022,466 for the years ended December 31, 2025 and 2024, respectively.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NBT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AND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EIN#16-1268674 Plan #002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b w:val="1"/>
                <w:bCs w:val="1"/>
                <w:color w:val="auto"/>
              </w:rPr>
              <w:t>(b)</w:t>
            </w:r>
          </w:p>
        </w:tc>
        <w:tc>
          <w:tcPr>
            <w:tcW w:w="4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Description of investment including maturity date,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4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Identity of issuer, borrower, lessor, or similar party</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rate of interest, collateral, par, or maturity value</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Current value</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31,469</w:t>
            </w:r>
          </w:p>
        </w:tc>
        <w:tc>
          <w:tcPr>
            <w:tcW w:w="0" w:type="dxa"/>
            <w:vAlign w:val="bottom"/>
          </w:tcPr>
          <w:p>
            <w:pPr>
              <w:spacing w:after="0"/>
              <w:rPr>
                <w:sz w:val="1"/>
                <w:szCs w:val="1"/>
                <w:color w:val="auto"/>
              </w:rPr>
            </w:pPr>
          </w:p>
        </w:tc>
      </w:tr>
      <w:tr>
        <w:trPr>
          <w:trHeight w:val="216"/>
        </w:trPr>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Schwab Value Advantage Money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Federated Hermes Capital Preservation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Stable value fund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17,933,465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American Funds New Perspective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198,969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14,035,242</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American Fund EUPAC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125,302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7,579,546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Columbia Dividend Income Fund S</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376,740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13,660,606</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DFA Emerging Markets Portfolio Institutional</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37,254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1,383,225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DFA US Sustainability Core 1 Portfolio</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20,041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1,049,761</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Dodge &amp; Cox Income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740,667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9,517,569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Fidelity Inflation Protected Bond Index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76,406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696,823</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Fidelity 500 Index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193,452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45,987,495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T-Rowe Price Dividend Growth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139,291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11,364,716</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T-Rowe Price Growth Stock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400,662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43,087,176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T-Rowe Price Mid Cap-Growth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119,864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11,655,580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T-Rowe Price Retirement Balance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110,543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1,548,701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T-Rowe Price Retirement 2010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84,112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1,345,785</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T-Rowe Price Retirement 2020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899,776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17,761,583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T-Rowe Price Retirement 2030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1,997,972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55,443,730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T-Rowe Price Retirement 2040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1,359,620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46,770,911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T-Rowe Price Retirement 2050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1,606,807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34,771,297</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T-Rowe Price Retirement 2060 Fund</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486,037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9,229,852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T-Rowe Price Small-Capital Value Fund</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174,660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8,951,336</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Balanced Index Fund Institutional</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137,779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7,138,315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Vanguard Intermediate US Treasury</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393,101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3,954,595</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Vanguard Mid-Cap Index Fund Institutional</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 179,727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14,266,742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Vanguard Short Term Bond Index Fund Admiral</w:t>
            </w: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 190,420 shares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1,968,946</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NBT Bancorp Inc.</w:t>
            </w: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724,330 shares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30,074,182</w:t>
            </w:r>
          </w:p>
        </w:tc>
        <w:tc>
          <w:tcPr>
            <w:tcW w:w="0" w:type="dxa"/>
            <w:vAlign w:val="bottom"/>
          </w:tcPr>
          <w:p>
            <w:pPr>
              <w:spacing w:after="0"/>
              <w:rPr>
                <w:sz w:val="1"/>
                <w:szCs w:val="1"/>
                <w:color w:val="auto"/>
              </w:rPr>
            </w:pPr>
          </w:p>
        </w:tc>
      </w:tr>
      <w:tr>
        <w:trPr>
          <w:trHeight w:val="223"/>
        </w:trPr>
        <w:tc>
          <w:tcPr>
            <w:tcW w:w="540" w:type="dxa"/>
            <w:vAlign w:val="bottom"/>
            <w:tcBorders>
              <w:bottom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Participant loans receivable</w:t>
            </w:r>
          </w:p>
        </w:tc>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rates – 4.25% – 10.00%</w:t>
            </w:r>
          </w:p>
        </w:tc>
        <w:tc>
          <w:tcPr>
            <w:tcW w:w="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3,492,310</w:t>
            </w:r>
          </w:p>
        </w:tc>
        <w:tc>
          <w:tcPr>
            <w:tcW w:w="0" w:type="dxa"/>
            <w:vAlign w:val="bottom"/>
          </w:tcPr>
          <w:p>
            <w:pPr>
              <w:spacing w:after="0"/>
              <w:rPr>
                <w:sz w:val="1"/>
                <w:szCs w:val="1"/>
                <w:color w:val="auto"/>
              </w:rPr>
            </w:pPr>
          </w:p>
        </w:tc>
      </w:tr>
      <w:tr>
        <w:trPr>
          <w:trHeight w:val="241"/>
        </w:trPr>
        <w:tc>
          <w:tcPr>
            <w:tcW w:w="54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414,701,477</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Cost omitted for these participant directed investments.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 (or other persons who administer the employee benefit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duly caused this annual report to be signed on its behalf by the undersigned hereunto duly authorized.</w:t>
      </w:r>
    </w:p>
    <w:p>
      <w:pPr>
        <w:spacing w:after="0" w:line="255"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Dated: June 24, 2026</w:t>
      </w:r>
      <w:r>
        <w:rPr>
          <w:sz w:val="20"/>
          <w:szCs w:val="20"/>
          <w:color w:val="auto"/>
        </w:rPr>
        <w:tab/>
      </w:r>
      <w:r>
        <w:rPr>
          <w:rFonts w:ascii="Times New Roman" w:cs="Times New Roman" w:eastAsia="Times New Roman" w:hAnsi="Times New Roman"/>
          <w:sz w:val="17"/>
          <w:szCs w:val="17"/>
          <w:color w:val="auto"/>
        </w:rPr>
        <w:t>NBT BANCORP INC. 401(k) AND</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EMPLOYEE OWNERSHIP PLAN</w:t>
      </w:r>
    </w:p>
    <w:p>
      <w:pPr>
        <w:spacing w:after="0" w:line="3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u w:val="single" w:color="auto"/>
          <w:color w:val="auto"/>
        </w:rPr>
        <w:t>By: /s/ Cynthia A. Smaniotto</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Cynthia A. Smaniotto</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and Member of the Retirement Plans Committee of the NBT</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Bancorp Inc. 401(k) and Employee Stock Ownership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79" w:lineRule="exact"/>
        <w:rPr>
          <w:sz w:val="20"/>
          <w:szCs w:val="20"/>
          <w:color w:val="auto"/>
        </w:rPr>
      </w:pPr>
    </w:p>
    <w:p>
      <w:pPr>
        <w:ind w:left="22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1840" w:hanging="1078"/>
        <w:spacing w:after="0"/>
        <w:tabs>
          <w:tab w:leader="none" w:pos="1840" w:val="left"/>
        </w:tabs>
        <w:numPr>
          <w:ilvl w:val="0"/>
          <w:numId w:val="1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Bonadio &amp; Co. LLP - Consent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(File No. 333-97995 and 333-168332) on Form S-8 of our report dated June 24, 2026, appearing in this Annual Report on Form 11-K of the NBT Bancorp Inc. 401(k) and Employee Stock Ownership Plan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Bonadio &amp; Co.,LLP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Amherst,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2026-06-24T15:22:15Z</dcterms:created>
  <dcterms:modified xsi:type="dcterms:W3CDTF">2026-06-24T15:22:15Z</dcterms:modified>
</cp:coreProperties>
</file>